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2C5B2" w14:textId="77777777" w:rsidR="00EC78EC" w:rsidRPr="006717A5" w:rsidRDefault="00EC78EC" w:rsidP="00EC78EC">
      <w:pPr>
        <w:jc w:val="center"/>
        <w:rPr>
          <w:b/>
          <w:bCs/>
          <w:lang w:val="en-GB"/>
        </w:rPr>
      </w:pPr>
      <w:r w:rsidRPr="006717A5">
        <w:rPr>
          <w:b/>
          <w:bCs/>
          <w:lang w:val="en-GB"/>
        </w:rPr>
        <w:t>TARGETED STAKEHOLDER CONSULTATION 2021 RULE OF LAW REPORT</w:t>
      </w:r>
    </w:p>
    <w:p w14:paraId="44F70705" w14:textId="77777777" w:rsidR="00EC78EC" w:rsidRPr="006717A5" w:rsidRDefault="00EC78EC" w:rsidP="00EC78EC">
      <w:pPr>
        <w:jc w:val="center"/>
        <w:rPr>
          <w:b/>
          <w:bCs/>
          <w:lang w:val="en-AU"/>
        </w:rPr>
      </w:pPr>
      <w:r w:rsidRPr="006717A5">
        <w:rPr>
          <w:b/>
          <w:bCs/>
          <w:lang w:val="en-AU"/>
        </w:rPr>
        <w:t>UN HUMAN RIGHTS REGIONAL OFFICE FOR EUROPE (OHCHR)</w:t>
      </w:r>
    </w:p>
    <w:p w14:paraId="53D51DFC" w14:textId="77777777" w:rsidR="00EC78EC" w:rsidRPr="006717A5" w:rsidRDefault="00EC78EC" w:rsidP="00EC78EC">
      <w:pPr>
        <w:jc w:val="both"/>
        <w:rPr>
          <w:lang w:val="en-AU"/>
        </w:rPr>
      </w:pPr>
    </w:p>
    <w:p w14:paraId="31EC3E37" w14:textId="57930FD5" w:rsidR="00EC78EC" w:rsidRPr="006717A5" w:rsidRDefault="00EC78EC" w:rsidP="00EC78EC">
      <w:pPr>
        <w:pBdr>
          <w:bottom w:val="single" w:sz="4" w:space="1" w:color="auto"/>
        </w:pBdr>
        <w:rPr>
          <w:b/>
          <w:bCs/>
          <w:lang w:val="en-GB"/>
        </w:rPr>
      </w:pPr>
      <w:r>
        <w:rPr>
          <w:b/>
          <w:bCs/>
          <w:lang w:val="en-AU"/>
        </w:rPr>
        <w:t>SLOVENIA</w:t>
      </w:r>
      <w:r w:rsidRPr="006717A5">
        <w:rPr>
          <w:b/>
          <w:bCs/>
          <w:lang w:val="en-AU"/>
        </w:rPr>
        <w:t xml:space="preserve"> REVIEW</w:t>
      </w:r>
    </w:p>
    <w:p w14:paraId="4F1B8C83" w14:textId="77777777" w:rsidR="00EC78EC" w:rsidRPr="006717A5" w:rsidRDefault="00EC78EC" w:rsidP="00EC78EC">
      <w:pPr>
        <w:rPr>
          <w:lang w:val="en-GB"/>
        </w:rPr>
      </w:pPr>
      <w:r w:rsidRPr="006717A5">
        <w:rPr>
          <w:b/>
          <w:bCs/>
          <w:lang w:val="en-GB"/>
        </w:rPr>
        <w:t xml:space="preserve">I. Justice System </w:t>
      </w:r>
    </w:p>
    <w:p w14:paraId="6EEA50D5" w14:textId="77777777" w:rsidR="00EC78EC" w:rsidRPr="006717A5" w:rsidRDefault="00EC78EC" w:rsidP="00EC78EC">
      <w:pPr>
        <w:rPr>
          <w:lang w:val="en-GB"/>
        </w:rPr>
      </w:pPr>
      <w:r w:rsidRPr="006717A5">
        <w:rPr>
          <w:b/>
          <w:bCs/>
          <w:i/>
          <w:iCs/>
          <w:lang w:val="en-GB"/>
        </w:rPr>
        <w:t xml:space="preserve">A. Independence </w:t>
      </w:r>
    </w:p>
    <w:p w14:paraId="2E2BF404" w14:textId="77777777" w:rsidR="00EC78EC" w:rsidRPr="006717A5" w:rsidRDefault="00EC78EC" w:rsidP="00EC78EC">
      <w:pPr>
        <w:rPr>
          <w:lang w:val="en-GB"/>
        </w:rPr>
      </w:pPr>
      <w:r w:rsidRPr="006717A5">
        <w:rPr>
          <w:i/>
          <w:iCs/>
          <w:lang w:val="en-GB"/>
        </w:rPr>
        <w:t xml:space="preserve">1. Appointment and selection of judges, prosecutors and court presidents </w:t>
      </w:r>
    </w:p>
    <w:p w14:paraId="673D0203" w14:textId="77777777" w:rsidR="00EC78EC" w:rsidRPr="006717A5" w:rsidRDefault="00EC78EC" w:rsidP="00EC78EC">
      <w:pPr>
        <w:rPr>
          <w:lang w:val="en-GB"/>
        </w:rPr>
      </w:pPr>
      <w:r w:rsidRPr="006717A5">
        <w:rPr>
          <w:i/>
          <w:iCs/>
          <w:lang w:val="en-GB"/>
        </w:rPr>
        <w:t xml:space="preserve">2. </w:t>
      </w:r>
      <w:proofErr w:type="spellStart"/>
      <w:r w:rsidRPr="006717A5">
        <w:rPr>
          <w:i/>
          <w:iCs/>
          <w:lang w:val="en-GB"/>
        </w:rPr>
        <w:t>Irremovability</w:t>
      </w:r>
      <w:proofErr w:type="spellEnd"/>
      <w:r w:rsidRPr="006717A5">
        <w:rPr>
          <w:i/>
          <w:iCs/>
          <w:lang w:val="en-GB"/>
        </w:rPr>
        <w:t xml:space="preserve"> of judges; including transfers, dismissal and retirement regime of judges, court presidents and prosecutors </w:t>
      </w:r>
    </w:p>
    <w:p w14:paraId="2A830EA6" w14:textId="77777777" w:rsidR="00EC78EC" w:rsidRPr="006717A5" w:rsidRDefault="00EC78EC" w:rsidP="00EC78EC">
      <w:pPr>
        <w:rPr>
          <w:lang w:val="en-GB"/>
        </w:rPr>
      </w:pPr>
      <w:r w:rsidRPr="006717A5">
        <w:rPr>
          <w:i/>
          <w:iCs/>
          <w:lang w:val="en-GB"/>
        </w:rPr>
        <w:t xml:space="preserve">3. Promotion of judges and prosecutors </w:t>
      </w:r>
    </w:p>
    <w:p w14:paraId="00D5BCD1" w14:textId="77777777" w:rsidR="00EC78EC" w:rsidRPr="006717A5" w:rsidRDefault="00EC78EC" w:rsidP="00EC78EC">
      <w:pPr>
        <w:rPr>
          <w:lang w:val="en-GB"/>
        </w:rPr>
      </w:pPr>
      <w:r w:rsidRPr="006717A5">
        <w:rPr>
          <w:i/>
          <w:iCs/>
          <w:lang w:val="en-GB"/>
        </w:rPr>
        <w:t xml:space="preserve">4. Allocation of cases in courts </w:t>
      </w:r>
    </w:p>
    <w:p w14:paraId="22B94E7B" w14:textId="77777777" w:rsidR="00EC78EC" w:rsidRPr="006717A5" w:rsidRDefault="00EC78EC" w:rsidP="00EC78EC">
      <w:pPr>
        <w:rPr>
          <w:lang w:val="en-GB"/>
        </w:rPr>
      </w:pPr>
      <w:r w:rsidRPr="006717A5">
        <w:rPr>
          <w:i/>
          <w:iCs/>
          <w:lang w:val="en-GB"/>
        </w:rPr>
        <w:t xml:space="preserve">5. Independence (including composition and nomination of its members), and powers of the body tasked with safeguarding the independence of the judiciary (e.g. Council for the Judiciary) </w:t>
      </w:r>
    </w:p>
    <w:p w14:paraId="3A049323" w14:textId="77777777" w:rsidR="00EC78EC" w:rsidRPr="006717A5" w:rsidRDefault="00EC78EC" w:rsidP="00EC78EC">
      <w:pPr>
        <w:rPr>
          <w:lang w:val="en-GB"/>
        </w:rPr>
      </w:pPr>
      <w:r w:rsidRPr="006717A5">
        <w:rPr>
          <w:i/>
          <w:iCs/>
          <w:lang w:val="en-GB"/>
        </w:rPr>
        <w:t xml:space="preserve">6. Accountability of judges and prosecutors, including disciplinary regime and bodies and ethical rules, judicial immunity and criminal liability of judges. </w:t>
      </w:r>
    </w:p>
    <w:p w14:paraId="5C8D6B82" w14:textId="77777777" w:rsidR="00EC78EC" w:rsidRPr="006717A5" w:rsidRDefault="00EC78EC" w:rsidP="00EC78EC">
      <w:pPr>
        <w:rPr>
          <w:lang w:val="en-GB"/>
        </w:rPr>
      </w:pPr>
      <w:r w:rsidRPr="006717A5">
        <w:rPr>
          <w:i/>
          <w:iCs/>
          <w:lang w:val="en-GB"/>
        </w:rPr>
        <w:t xml:space="preserve">7. Remuneration/bonuses for judges and prosecutors </w:t>
      </w:r>
    </w:p>
    <w:p w14:paraId="38624ED1" w14:textId="0C60998D" w:rsidR="00EC78EC" w:rsidRDefault="00EC78EC" w:rsidP="00EC78EC">
      <w:pPr>
        <w:rPr>
          <w:i/>
          <w:iCs/>
          <w:lang w:val="en-GB"/>
        </w:rPr>
      </w:pPr>
      <w:r w:rsidRPr="006717A5">
        <w:rPr>
          <w:i/>
          <w:iCs/>
          <w:lang w:val="en-GB"/>
        </w:rPr>
        <w:t xml:space="preserve">8. Independence/autonomy of the prosecution service </w:t>
      </w:r>
    </w:p>
    <w:p w14:paraId="2E7673AE" w14:textId="77777777" w:rsidR="00EC78EC" w:rsidRPr="006717A5" w:rsidRDefault="00EC78EC" w:rsidP="00EC78EC">
      <w:pPr>
        <w:rPr>
          <w:lang w:val="en-GB"/>
        </w:rPr>
      </w:pPr>
      <w:r w:rsidRPr="006717A5">
        <w:rPr>
          <w:i/>
          <w:iCs/>
          <w:lang w:val="en-GB"/>
        </w:rPr>
        <w:t xml:space="preserve">9. Independence of the Bar (chamber/association of lawyers) and of lawyers </w:t>
      </w:r>
    </w:p>
    <w:p w14:paraId="1140A631" w14:textId="077BB598" w:rsidR="00EC78EC" w:rsidRDefault="00EC78EC" w:rsidP="00EC78EC">
      <w:pPr>
        <w:rPr>
          <w:i/>
          <w:iCs/>
          <w:lang w:val="en-GB"/>
        </w:rPr>
      </w:pPr>
      <w:r w:rsidRPr="006717A5">
        <w:rPr>
          <w:i/>
          <w:iCs/>
          <w:lang w:val="en-GB"/>
        </w:rPr>
        <w:t xml:space="preserve">10. Significant developments capable of affecting the perception that the general public has of the independence of the judiciary </w:t>
      </w:r>
    </w:p>
    <w:p w14:paraId="2FF235DA" w14:textId="77777777" w:rsidR="004F01BF" w:rsidRPr="006717A5" w:rsidRDefault="004F01BF" w:rsidP="00EC78EC">
      <w:pPr>
        <w:rPr>
          <w:lang w:val="en-GB"/>
        </w:rPr>
      </w:pPr>
    </w:p>
    <w:p w14:paraId="78346051" w14:textId="77777777" w:rsidR="00EC78EC" w:rsidRPr="006717A5" w:rsidRDefault="00EC78EC" w:rsidP="00EC78EC">
      <w:pPr>
        <w:rPr>
          <w:lang w:val="en-GB"/>
        </w:rPr>
      </w:pPr>
      <w:r w:rsidRPr="006717A5">
        <w:rPr>
          <w:lang w:val="en-GB"/>
        </w:rPr>
        <w:t xml:space="preserve"> </w:t>
      </w:r>
      <w:r w:rsidRPr="006717A5">
        <w:rPr>
          <w:b/>
          <w:bCs/>
          <w:i/>
          <w:iCs/>
          <w:lang w:val="en-GB"/>
        </w:rPr>
        <w:t xml:space="preserve">B. Quality of justice </w:t>
      </w:r>
    </w:p>
    <w:p w14:paraId="0C5FFE50" w14:textId="4A05CEAD" w:rsidR="00EC78EC" w:rsidRDefault="00EC78EC" w:rsidP="00EC78EC">
      <w:pPr>
        <w:rPr>
          <w:i/>
          <w:iCs/>
          <w:lang w:val="en-GB"/>
        </w:rPr>
      </w:pPr>
      <w:r w:rsidRPr="006717A5">
        <w:rPr>
          <w:i/>
          <w:iCs/>
          <w:lang w:val="en-GB"/>
        </w:rPr>
        <w:t xml:space="preserve">11. Accessibility of courts (e.g. court fees, legal aid, language) </w:t>
      </w:r>
    </w:p>
    <w:p w14:paraId="2D39B57A" w14:textId="618F7BCA" w:rsidR="00A12560" w:rsidRPr="00560E4B" w:rsidRDefault="00A54452" w:rsidP="008F5AFC">
      <w:pPr>
        <w:jc w:val="both"/>
        <w:rPr>
          <w:lang w:val="en-GB"/>
        </w:rPr>
      </w:pPr>
      <w:r>
        <w:rPr>
          <w:lang w:val="en-GB"/>
        </w:rPr>
        <w:t>In its 2018 concluding observations, t</w:t>
      </w:r>
      <w:r w:rsidRPr="00E56A54">
        <w:rPr>
          <w:lang w:val="en-GB"/>
        </w:rPr>
        <w:t xml:space="preserve">he </w:t>
      </w:r>
      <w:r w:rsidR="00E56A54" w:rsidRPr="00E56A54">
        <w:rPr>
          <w:lang w:val="en-GB"/>
        </w:rPr>
        <w:t>Committee</w:t>
      </w:r>
      <w:r w:rsidR="00E56A54">
        <w:rPr>
          <w:lang w:val="en-GB"/>
        </w:rPr>
        <w:t xml:space="preserve"> on the Rights of Persons with </w:t>
      </w:r>
      <w:r w:rsidR="00560E4B">
        <w:rPr>
          <w:lang w:val="en-GB"/>
        </w:rPr>
        <w:t>Disabilities</w:t>
      </w:r>
      <w:r w:rsidR="00560E4B" w:rsidRPr="00E56A54">
        <w:rPr>
          <w:lang w:val="en-GB"/>
        </w:rPr>
        <w:t xml:space="preserve"> </w:t>
      </w:r>
      <w:r w:rsidR="00E56A54" w:rsidRPr="00E56A54">
        <w:rPr>
          <w:lang w:val="en-GB"/>
        </w:rPr>
        <w:t>note</w:t>
      </w:r>
      <w:r w:rsidR="00560E4B">
        <w:rPr>
          <w:lang w:val="en-GB"/>
        </w:rPr>
        <w:t>d</w:t>
      </w:r>
      <w:r w:rsidR="00E56A54" w:rsidRPr="00E56A54">
        <w:rPr>
          <w:lang w:val="en-GB"/>
        </w:rPr>
        <w:t xml:space="preserve"> with concern </w:t>
      </w:r>
      <w:r w:rsidR="004F01BF">
        <w:rPr>
          <w:lang w:val="en-GB"/>
        </w:rPr>
        <w:t>t</w:t>
      </w:r>
      <w:r w:rsidR="00E56A54" w:rsidRPr="00560E4B">
        <w:rPr>
          <w:lang w:val="en-GB"/>
        </w:rPr>
        <w:t>he lack of information on specific procedural, gender- and age-appropriate accommodation for persons with disabilities in judicial proceedings, in particular for deaf-blind persons</w:t>
      </w:r>
      <w:r w:rsidR="00560E4B">
        <w:rPr>
          <w:lang w:val="en-GB"/>
        </w:rPr>
        <w:t>;</w:t>
      </w:r>
      <w:r w:rsidR="004F01BF">
        <w:rPr>
          <w:lang w:val="en-GB"/>
        </w:rPr>
        <w:t xml:space="preserve"> t</w:t>
      </w:r>
      <w:r w:rsidR="00E56A54" w:rsidRPr="00560E4B">
        <w:rPr>
          <w:lang w:val="en-GB"/>
        </w:rPr>
        <w:t>he lack of accessibility of the buildings of law enforcement agencies and the judiciary</w:t>
      </w:r>
      <w:r w:rsidR="004F01BF">
        <w:rPr>
          <w:lang w:val="en-GB"/>
        </w:rPr>
        <w:t xml:space="preserve">; </w:t>
      </w:r>
      <w:r w:rsidR="00560E4B">
        <w:rPr>
          <w:lang w:val="en-GB"/>
        </w:rPr>
        <w:t>b</w:t>
      </w:r>
      <w:r w:rsidR="00A12560" w:rsidRPr="00560E4B">
        <w:rPr>
          <w:lang w:val="en-GB"/>
        </w:rPr>
        <w:t>arriers to access to justice for persons with psychosocial and/or intellectual disabilities, in particular persons living in institutions and/or deprived of their legal capacity</w:t>
      </w:r>
      <w:r w:rsidR="00560E4B">
        <w:rPr>
          <w:lang w:val="en-GB"/>
        </w:rPr>
        <w:t xml:space="preserve">; </w:t>
      </w:r>
      <w:r w:rsidR="00560E4B" w:rsidRPr="00560E4B">
        <w:rPr>
          <w:lang w:val="en-GB"/>
        </w:rPr>
        <w:t>t</w:t>
      </w:r>
      <w:r w:rsidR="00A12560" w:rsidRPr="00560E4B">
        <w:rPr>
          <w:lang w:val="en-GB"/>
        </w:rPr>
        <w:t>he fact that the State party has not formulated policies to empower persons with disabilities to be part of the justice system as direct or indirect participants, such as lawyers, court officers or law enforcement officials</w:t>
      </w:r>
      <w:r w:rsidR="004F01BF">
        <w:rPr>
          <w:lang w:val="en-GB"/>
        </w:rPr>
        <w:t xml:space="preserve">. The Committee also expressed concern </w:t>
      </w:r>
      <w:r w:rsidR="004F01BF" w:rsidRPr="00D31E17">
        <w:rPr>
          <w:lang w:val="en-GB"/>
        </w:rPr>
        <w:t xml:space="preserve">at the reported cases of excessive use of force against persons in psychiatric institutions by medical staff </w:t>
      </w:r>
      <w:r w:rsidR="004F01BF">
        <w:rPr>
          <w:lang w:val="en-GB"/>
        </w:rPr>
        <w:t xml:space="preserve">and </w:t>
      </w:r>
      <w:r w:rsidR="00243051">
        <w:rPr>
          <w:lang w:val="en-GB"/>
        </w:rPr>
        <w:t>judicial police officers (</w:t>
      </w:r>
      <w:hyperlink r:id="rId5" w:history="1">
        <w:r w:rsidR="00A12560" w:rsidRPr="00560E4B">
          <w:rPr>
            <w:rStyle w:val="Hyperlink"/>
            <w:lang w:val="en-GB"/>
          </w:rPr>
          <w:t>CRPD/C/SVN/CO/1</w:t>
        </w:r>
      </w:hyperlink>
      <w:r w:rsidR="004F01BF">
        <w:rPr>
          <w:lang w:val="en-GB"/>
        </w:rPr>
        <w:t xml:space="preserve">, </w:t>
      </w:r>
      <w:r w:rsidR="00A12560" w:rsidRPr="00560E4B">
        <w:rPr>
          <w:lang w:val="en-GB"/>
        </w:rPr>
        <w:t xml:space="preserve">para </w:t>
      </w:r>
      <w:r w:rsidR="00560E4B" w:rsidRPr="00560E4B">
        <w:rPr>
          <w:lang w:val="en-GB"/>
        </w:rPr>
        <w:t xml:space="preserve">18 </w:t>
      </w:r>
      <w:r w:rsidR="00275416">
        <w:rPr>
          <w:lang w:val="en-GB"/>
        </w:rPr>
        <w:t>–</w:t>
      </w:r>
      <w:r w:rsidR="00560E4B" w:rsidRPr="00560E4B">
        <w:rPr>
          <w:lang w:val="en-GB"/>
        </w:rPr>
        <w:t xml:space="preserve"> </w:t>
      </w:r>
      <w:r w:rsidR="00A12560" w:rsidRPr="00560E4B">
        <w:rPr>
          <w:lang w:val="en-GB"/>
        </w:rPr>
        <w:t>20</w:t>
      </w:r>
      <w:r w:rsidR="00275416">
        <w:rPr>
          <w:lang w:val="en-GB"/>
        </w:rPr>
        <w:t>, 25</w:t>
      </w:r>
      <w:r w:rsidR="00A12560" w:rsidRPr="00560E4B">
        <w:rPr>
          <w:lang w:val="en-GB"/>
        </w:rPr>
        <w:t>).</w:t>
      </w:r>
    </w:p>
    <w:p w14:paraId="794AC216" w14:textId="77777777" w:rsidR="00E56A54" w:rsidRPr="00824AEF" w:rsidRDefault="00E56A54" w:rsidP="00EC78EC">
      <w:pPr>
        <w:rPr>
          <w:i/>
          <w:iCs/>
          <w:lang w:val="en-GB"/>
        </w:rPr>
      </w:pPr>
    </w:p>
    <w:p w14:paraId="59ABF257" w14:textId="77777777" w:rsidR="00EC78EC" w:rsidRDefault="00EC78EC" w:rsidP="00EC78EC">
      <w:pPr>
        <w:rPr>
          <w:i/>
          <w:iCs/>
          <w:lang w:val="en-GB"/>
        </w:rPr>
      </w:pPr>
      <w:r w:rsidRPr="006717A5">
        <w:rPr>
          <w:i/>
          <w:iCs/>
          <w:lang w:val="en-GB"/>
        </w:rPr>
        <w:t>12. Resources of the judiciary (human/financial/material)</w:t>
      </w:r>
    </w:p>
    <w:p w14:paraId="347CE50C" w14:textId="77777777" w:rsidR="00EC78EC" w:rsidRDefault="00EC78EC" w:rsidP="00EC78EC">
      <w:pPr>
        <w:rPr>
          <w:i/>
          <w:iCs/>
          <w:lang w:val="en-GB"/>
        </w:rPr>
      </w:pPr>
      <w:r w:rsidRPr="006717A5">
        <w:rPr>
          <w:i/>
          <w:iCs/>
          <w:lang w:val="en-GB"/>
        </w:rPr>
        <w:t xml:space="preserve">13. Training of justice professionals (including judges, prosecutors, lawyers, court staff) </w:t>
      </w:r>
    </w:p>
    <w:p w14:paraId="366BD759" w14:textId="77777777" w:rsidR="00EC78EC" w:rsidRDefault="00EC78EC" w:rsidP="00EC78EC">
      <w:pPr>
        <w:rPr>
          <w:i/>
          <w:iCs/>
          <w:lang w:val="en-GB"/>
        </w:rPr>
      </w:pPr>
      <w:r w:rsidRPr="006717A5">
        <w:rPr>
          <w:i/>
          <w:iCs/>
          <w:lang w:val="en-GB"/>
        </w:rPr>
        <w:t>14. Digitalisation (e.g. use of digital technology, particularly electronic communication tools, within the justice system and with court users, including resilience of justice systems in COVID-19 pandemic)</w:t>
      </w:r>
    </w:p>
    <w:p w14:paraId="623150F0" w14:textId="77777777" w:rsidR="00EC78EC" w:rsidRPr="006717A5" w:rsidRDefault="00EC78EC" w:rsidP="00EC78EC">
      <w:pPr>
        <w:rPr>
          <w:lang w:val="en-GB"/>
        </w:rPr>
      </w:pPr>
      <w:r w:rsidRPr="006717A5">
        <w:rPr>
          <w:i/>
          <w:iCs/>
          <w:lang w:val="en-GB"/>
        </w:rPr>
        <w:t xml:space="preserve">15. Use of assessment tools and standards (e.g. ICT systems for case management, court statistics and their transparency, monitoring, evaluation, surveys among court users or legal professionals) </w:t>
      </w:r>
    </w:p>
    <w:p w14:paraId="18FAFEB3" w14:textId="77777777" w:rsidR="00EC78EC" w:rsidRDefault="00EC78EC" w:rsidP="00EC78EC">
      <w:pPr>
        <w:rPr>
          <w:i/>
          <w:iCs/>
          <w:lang w:val="en-GB"/>
        </w:rPr>
      </w:pPr>
      <w:r w:rsidRPr="006717A5">
        <w:rPr>
          <w:i/>
          <w:iCs/>
          <w:lang w:val="en-GB"/>
        </w:rPr>
        <w:t xml:space="preserve">16. Geographical distribution and number of courts/jurisdictions (“judicial map”) and their specialisation </w:t>
      </w:r>
    </w:p>
    <w:p w14:paraId="7009E800" w14:textId="77777777" w:rsidR="00EC78EC" w:rsidRPr="006717A5" w:rsidRDefault="00EC78EC" w:rsidP="00EC78EC">
      <w:pPr>
        <w:rPr>
          <w:lang w:val="en-GB"/>
        </w:rPr>
      </w:pPr>
      <w:r w:rsidRPr="006717A5">
        <w:rPr>
          <w:b/>
          <w:bCs/>
          <w:i/>
          <w:iCs/>
          <w:lang w:val="en-GB"/>
        </w:rPr>
        <w:t xml:space="preserve">C. Efficiency of the justice system </w:t>
      </w:r>
    </w:p>
    <w:p w14:paraId="47163313" w14:textId="77777777" w:rsidR="00EC78EC" w:rsidRDefault="00EC78EC" w:rsidP="00EC78EC">
      <w:pPr>
        <w:rPr>
          <w:i/>
          <w:iCs/>
          <w:lang w:val="en-GB"/>
        </w:rPr>
      </w:pPr>
      <w:r w:rsidRPr="006717A5">
        <w:rPr>
          <w:i/>
          <w:iCs/>
          <w:lang w:val="en-GB"/>
        </w:rPr>
        <w:t>17. Length of proceedings</w:t>
      </w:r>
    </w:p>
    <w:p w14:paraId="3599A1C6" w14:textId="77777777" w:rsidR="004F01BF" w:rsidRDefault="004F01BF" w:rsidP="00EC78EC">
      <w:pPr>
        <w:rPr>
          <w:b/>
          <w:bCs/>
          <w:i/>
          <w:iCs/>
          <w:lang w:val="en-GB"/>
        </w:rPr>
      </w:pPr>
    </w:p>
    <w:p w14:paraId="39B2291C" w14:textId="3DCE7CE1" w:rsidR="00EC78EC" w:rsidRDefault="00EC78EC" w:rsidP="00EC78EC">
      <w:pPr>
        <w:rPr>
          <w:b/>
          <w:bCs/>
          <w:i/>
          <w:iCs/>
          <w:lang w:val="en-GB"/>
        </w:rPr>
      </w:pPr>
      <w:r w:rsidRPr="00C84205">
        <w:rPr>
          <w:b/>
          <w:bCs/>
          <w:i/>
          <w:iCs/>
          <w:lang w:val="en-GB"/>
        </w:rPr>
        <w:t>Other – please specify</w:t>
      </w:r>
      <w:r w:rsidRPr="006717A5">
        <w:rPr>
          <w:b/>
          <w:bCs/>
          <w:i/>
          <w:iCs/>
          <w:lang w:val="en-GB"/>
        </w:rPr>
        <w:t xml:space="preserve"> </w:t>
      </w:r>
    </w:p>
    <w:p w14:paraId="5026C401" w14:textId="5099B763" w:rsidR="00960342" w:rsidRPr="00960342" w:rsidRDefault="00960342" w:rsidP="008F5AFC">
      <w:pPr>
        <w:jc w:val="both"/>
        <w:rPr>
          <w:lang w:val="en-GB"/>
        </w:rPr>
      </w:pPr>
      <w:r w:rsidRPr="008F5AFC">
        <w:rPr>
          <w:i/>
          <w:lang w:val="en-GB"/>
        </w:rPr>
        <w:lastRenderedPageBreak/>
        <w:t>Hate speech and incitement to violence</w:t>
      </w:r>
      <w:r w:rsidR="00A54452">
        <w:rPr>
          <w:lang w:val="en-GB"/>
        </w:rPr>
        <w:t xml:space="preserve"> - In the 2019 report following </w:t>
      </w:r>
      <w:r w:rsidR="00A54452" w:rsidRPr="00960342">
        <w:rPr>
          <w:lang w:val="en-GB"/>
        </w:rPr>
        <w:t xml:space="preserve">his </w:t>
      </w:r>
      <w:r w:rsidR="00A54452">
        <w:rPr>
          <w:lang w:val="en-GB"/>
        </w:rPr>
        <w:t xml:space="preserve">visit </w:t>
      </w:r>
      <w:r w:rsidR="00A54452" w:rsidRPr="00960342">
        <w:rPr>
          <w:lang w:val="en-GB"/>
        </w:rPr>
        <w:t>to Slovenia</w:t>
      </w:r>
      <w:r w:rsidR="00A54452">
        <w:rPr>
          <w:lang w:val="en-GB"/>
        </w:rPr>
        <w:t>, t</w:t>
      </w:r>
      <w:r>
        <w:rPr>
          <w:lang w:val="en-GB"/>
        </w:rPr>
        <w:t xml:space="preserve">he </w:t>
      </w:r>
      <w:r w:rsidRPr="00960342">
        <w:rPr>
          <w:lang w:val="en-GB"/>
        </w:rPr>
        <w:t>Special Rapporteur on minority issues</w:t>
      </w:r>
      <w:r w:rsidR="008F5AFC">
        <w:rPr>
          <w:lang w:val="en-GB"/>
        </w:rPr>
        <w:t xml:space="preserve"> </w:t>
      </w:r>
      <w:r>
        <w:rPr>
          <w:lang w:val="en-GB"/>
        </w:rPr>
        <w:t>stated that t</w:t>
      </w:r>
      <w:r w:rsidRPr="00960342">
        <w:rPr>
          <w:lang w:val="en-GB"/>
        </w:rPr>
        <w:t>he wording of article 297 of the Penal Code, and consequently its interpretation, ha</w:t>
      </w:r>
      <w:r w:rsidR="00A54452">
        <w:rPr>
          <w:lang w:val="en-GB"/>
        </w:rPr>
        <w:t>d</w:t>
      </w:r>
      <w:r w:rsidRPr="00960342">
        <w:rPr>
          <w:lang w:val="en-GB"/>
        </w:rPr>
        <w:t xml:space="preserve"> helped to create an environment of impunity and discouragement; those who engage</w:t>
      </w:r>
      <w:r w:rsidR="00A54452">
        <w:rPr>
          <w:lang w:val="en-GB"/>
        </w:rPr>
        <w:t>d</w:t>
      </w:r>
      <w:r w:rsidRPr="00960342">
        <w:rPr>
          <w:lang w:val="en-GB"/>
        </w:rPr>
        <w:t xml:space="preserve"> in hate speech and incitement to violence against minorities </w:t>
      </w:r>
      <w:r w:rsidR="00A54452">
        <w:rPr>
          <w:lang w:val="en-GB"/>
        </w:rPr>
        <w:t>we</w:t>
      </w:r>
      <w:r w:rsidRPr="00960342">
        <w:rPr>
          <w:lang w:val="en-GB"/>
        </w:rPr>
        <w:t>re unlikely to be prosecuted and c</w:t>
      </w:r>
      <w:r w:rsidR="00A54452">
        <w:rPr>
          <w:lang w:val="en-GB"/>
        </w:rPr>
        <w:t>ould</w:t>
      </w:r>
      <w:r w:rsidRPr="00960342">
        <w:rPr>
          <w:lang w:val="en-GB"/>
        </w:rPr>
        <w:t xml:space="preserve"> therefore act with little concern of any punishment or consequences, while victims fel</w:t>
      </w:r>
      <w:r w:rsidR="00A54452">
        <w:rPr>
          <w:lang w:val="en-GB"/>
        </w:rPr>
        <w:t>t</w:t>
      </w:r>
      <w:r w:rsidRPr="00960342">
        <w:rPr>
          <w:lang w:val="en-GB"/>
        </w:rPr>
        <w:t xml:space="preserve"> there </w:t>
      </w:r>
      <w:r w:rsidR="00A54452">
        <w:rPr>
          <w:lang w:val="en-GB"/>
        </w:rPr>
        <w:t>was</w:t>
      </w:r>
      <w:r w:rsidRPr="00960342">
        <w:rPr>
          <w:lang w:val="en-GB"/>
        </w:rPr>
        <w:t xml:space="preserve"> simply no point in complaining if they believe</w:t>
      </w:r>
      <w:r w:rsidR="00A54452">
        <w:rPr>
          <w:lang w:val="en-GB"/>
        </w:rPr>
        <w:t>d</w:t>
      </w:r>
      <w:r w:rsidRPr="00960342">
        <w:rPr>
          <w:lang w:val="en-GB"/>
        </w:rPr>
        <w:t xml:space="preserve"> no one w</w:t>
      </w:r>
      <w:r w:rsidR="00A54452">
        <w:rPr>
          <w:lang w:val="en-GB"/>
        </w:rPr>
        <w:t>ould</w:t>
      </w:r>
      <w:r w:rsidR="00243051">
        <w:rPr>
          <w:lang w:val="en-GB"/>
        </w:rPr>
        <w:t xml:space="preserve"> be prosecuted or punished (</w:t>
      </w:r>
      <w:hyperlink r:id="rId6" w:history="1">
        <w:r w:rsidRPr="00960342">
          <w:rPr>
            <w:rStyle w:val="Hyperlink"/>
            <w:lang w:val="en-GB"/>
          </w:rPr>
          <w:t>A/HRC/40/64/Add.1</w:t>
        </w:r>
      </w:hyperlink>
      <w:r w:rsidR="009D0626">
        <w:rPr>
          <w:lang w:val="en-GB"/>
        </w:rPr>
        <w:t>,</w:t>
      </w:r>
      <w:r w:rsidRPr="00960342">
        <w:rPr>
          <w:lang w:val="en-GB"/>
        </w:rPr>
        <w:t xml:space="preserve"> para 49).</w:t>
      </w:r>
    </w:p>
    <w:p w14:paraId="62DCD6CB" w14:textId="20E2F49A" w:rsidR="00A12560" w:rsidRPr="006717A5" w:rsidRDefault="00A12560" w:rsidP="00EC78EC">
      <w:pPr>
        <w:rPr>
          <w:b/>
          <w:bCs/>
          <w:i/>
          <w:iCs/>
          <w:lang w:val="en-GB"/>
        </w:rPr>
      </w:pPr>
    </w:p>
    <w:p w14:paraId="02DFDC69" w14:textId="77777777" w:rsidR="00EC78EC" w:rsidRPr="006717A5" w:rsidRDefault="00EC78EC" w:rsidP="00EC78EC">
      <w:pPr>
        <w:rPr>
          <w:lang w:val="en-GB"/>
        </w:rPr>
      </w:pPr>
      <w:r w:rsidRPr="006717A5">
        <w:rPr>
          <w:b/>
          <w:bCs/>
          <w:lang w:val="en-GB"/>
        </w:rPr>
        <w:t xml:space="preserve">II. Anti-corruption framework </w:t>
      </w:r>
    </w:p>
    <w:p w14:paraId="61175553" w14:textId="77777777" w:rsidR="00EC78EC" w:rsidRPr="006717A5" w:rsidRDefault="00EC78EC" w:rsidP="00EC78EC">
      <w:pPr>
        <w:rPr>
          <w:lang w:val="en-GB"/>
        </w:rPr>
      </w:pPr>
      <w:r w:rsidRPr="006717A5">
        <w:rPr>
          <w:b/>
          <w:bCs/>
          <w:i/>
          <w:iCs/>
          <w:lang w:val="en-GB"/>
        </w:rPr>
        <w:t xml:space="preserve">A. The institutional framework capacity to fight against corruption (prevention and investigation / prosecution) </w:t>
      </w:r>
    </w:p>
    <w:p w14:paraId="57313F4C" w14:textId="77777777" w:rsidR="00EC78EC" w:rsidRPr="006717A5" w:rsidRDefault="00EC78EC" w:rsidP="00EC78EC">
      <w:pPr>
        <w:rPr>
          <w:lang w:val="en-GB"/>
        </w:rPr>
      </w:pPr>
      <w:r w:rsidRPr="006717A5">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175637E7" w14:textId="77777777" w:rsidR="00EC78EC" w:rsidRPr="006717A5" w:rsidRDefault="00EC78EC" w:rsidP="00EC78EC">
      <w:pPr>
        <w:rPr>
          <w:lang w:val="en-GB"/>
        </w:rPr>
      </w:pPr>
      <w:r w:rsidRPr="006717A5">
        <w:rPr>
          <w:b/>
          <w:bCs/>
          <w:i/>
          <w:iCs/>
          <w:lang w:val="en-GB"/>
        </w:rPr>
        <w:t xml:space="preserve">B. Prevention </w:t>
      </w:r>
    </w:p>
    <w:p w14:paraId="61AB64F8" w14:textId="77777777" w:rsidR="00EC78EC" w:rsidRPr="006717A5" w:rsidRDefault="00EC78EC" w:rsidP="00EC78EC">
      <w:pPr>
        <w:rPr>
          <w:lang w:val="en-GB"/>
        </w:rPr>
      </w:pPr>
      <w:r w:rsidRPr="006717A5">
        <w:rPr>
          <w:i/>
          <w:iCs/>
          <w:lang w:val="en-GB"/>
        </w:rPr>
        <w:t xml:space="preserve">19. Integrity framework including incompatibility rules (e.g.: revolving doors) </w:t>
      </w:r>
    </w:p>
    <w:p w14:paraId="074D65F3" w14:textId="77777777" w:rsidR="00EC78EC" w:rsidRPr="006717A5" w:rsidRDefault="00EC78EC" w:rsidP="00EC78EC">
      <w:pPr>
        <w:rPr>
          <w:lang w:val="en-GB"/>
        </w:rPr>
      </w:pPr>
      <w:r w:rsidRPr="006717A5">
        <w:rPr>
          <w:i/>
          <w:iCs/>
          <w:lang w:val="en-GB"/>
        </w:rPr>
        <w:t xml:space="preserve">20. General transparency of public decision-making (including public access to information such as lobbying, asset disclosure rules and transparency of political party financing) </w:t>
      </w:r>
    </w:p>
    <w:p w14:paraId="3F4CC550" w14:textId="77777777" w:rsidR="00EC78EC" w:rsidRPr="006717A5" w:rsidRDefault="00EC78EC" w:rsidP="00EC78EC">
      <w:pPr>
        <w:rPr>
          <w:lang w:val="en-GB"/>
        </w:rPr>
      </w:pPr>
      <w:r w:rsidRPr="006717A5">
        <w:rPr>
          <w:i/>
          <w:iCs/>
          <w:lang w:val="en-GB"/>
        </w:rPr>
        <w:t xml:space="preserve">21. Rules on preventing conflict of interests in the public sector </w:t>
      </w:r>
    </w:p>
    <w:p w14:paraId="7F3A6414" w14:textId="77777777" w:rsidR="00EC78EC" w:rsidRPr="006717A5" w:rsidRDefault="00EC78EC" w:rsidP="00EC78EC">
      <w:pPr>
        <w:rPr>
          <w:lang w:val="en-GB"/>
        </w:rPr>
      </w:pPr>
      <w:r w:rsidRPr="006717A5">
        <w:rPr>
          <w:i/>
          <w:iCs/>
          <w:lang w:val="en-GB"/>
        </w:rPr>
        <w:t xml:space="preserve">22. Measures in place to ensure </w:t>
      </w:r>
      <w:proofErr w:type="spellStart"/>
      <w:r w:rsidRPr="006717A5">
        <w:rPr>
          <w:i/>
          <w:iCs/>
          <w:lang w:val="en-GB"/>
        </w:rPr>
        <w:t>whistleblower</w:t>
      </w:r>
      <w:proofErr w:type="spellEnd"/>
      <w:r w:rsidRPr="006717A5">
        <w:rPr>
          <w:i/>
          <w:iCs/>
          <w:lang w:val="en-GB"/>
        </w:rPr>
        <w:t xml:space="preserve"> protection and encourage reporting of corruption </w:t>
      </w:r>
    </w:p>
    <w:p w14:paraId="7E1E412F" w14:textId="77777777" w:rsidR="00EC78EC" w:rsidRPr="006717A5" w:rsidRDefault="00EC78EC" w:rsidP="00EC78EC">
      <w:pPr>
        <w:rPr>
          <w:lang w:val="en-GB"/>
        </w:rPr>
      </w:pPr>
      <w:r w:rsidRPr="006717A5">
        <w:rPr>
          <w:i/>
          <w:iCs/>
          <w:lang w:val="en-GB"/>
        </w:rPr>
        <w:t>23. List the sectors with high-risks of corruption in your Member State and list the relevant measures taken/envisaged for preventing corruption and conflict of interest in these sectors. (</w:t>
      </w:r>
      <w:proofErr w:type="gramStart"/>
      <w:r w:rsidRPr="006717A5">
        <w:rPr>
          <w:i/>
          <w:iCs/>
          <w:lang w:val="en-GB"/>
        </w:rPr>
        <w:t>e.g</w:t>
      </w:r>
      <w:proofErr w:type="gramEnd"/>
      <w:r w:rsidRPr="006717A5">
        <w:rPr>
          <w:i/>
          <w:iCs/>
          <w:lang w:val="en-GB"/>
        </w:rPr>
        <w:t xml:space="preserve">. public procurement, healthcare, other). </w:t>
      </w:r>
    </w:p>
    <w:p w14:paraId="69B793E5" w14:textId="77777777" w:rsidR="00EC78EC" w:rsidRPr="006717A5" w:rsidRDefault="00EC78EC" w:rsidP="00EC78EC">
      <w:pPr>
        <w:rPr>
          <w:lang w:val="en-GB"/>
        </w:rPr>
      </w:pPr>
      <w:r w:rsidRPr="006717A5">
        <w:rPr>
          <w:i/>
          <w:iCs/>
          <w:lang w:val="en-GB"/>
        </w:rPr>
        <w:t xml:space="preserve">24. Measures taken to address corruption risks in the context of the COVID-19 pandemic. </w:t>
      </w:r>
    </w:p>
    <w:p w14:paraId="42B1A0B7" w14:textId="77777777" w:rsidR="00EC78EC" w:rsidRPr="006717A5" w:rsidRDefault="00EC78EC" w:rsidP="00EC78EC">
      <w:pPr>
        <w:rPr>
          <w:lang w:val="en-GB"/>
        </w:rPr>
      </w:pPr>
      <w:r w:rsidRPr="006717A5">
        <w:rPr>
          <w:i/>
          <w:iCs/>
          <w:lang w:val="en-GB"/>
        </w:rPr>
        <w:t xml:space="preserve">25. Any other relevant measures to prevent corruption in public and private sector </w:t>
      </w:r>
    </w:p>
    <w:p w14:paraId="336F753B" w14:textId="77777777" w:rsidR="00EC78EC" w:rsidRPr="006717A5" w:rsidRDefault="00EC78EC" w:rsidP="00EC78EC">
      <w:pPr>
        <w:rPr>
          <w:lang w:val="en-GB"/>
        </w:rPr>
      </w:pPr>
      <w:r w:rsidRPr="006717A5">
        <w:rPr>
          <w:b/>
          <w:bCs/>
          <w:i/>
          <w:iCs/>
          <w:lang w:val="en-GB"/>
        </w:rPr>
        <w:t xml:space="preserve">C. Repressive measures </w:t>
      </w:r>
    </w:p>
    <w:p w14:paraId="55F12FB9" w14:textId="77777777" w:rsidR="00EC78EC" w:rsidRPr="006717A5" w:rsidRDefault="00EC78EC" w:rsidP="00EC78EC">
      <w:pPr>
        <w:rPr>
          <w:lang w:val="en-GB"/>
        </w:rPr>
      </w:pPr>
      <w:r w:rsidRPr="006717A5">
        <w:rPr>
          <w:i/>
          <w:iCs/>
          <w:lang w:val="en-GB"/>
        </w:rPr>
        <w:t xml:space="preserve">26. Criminalisation of corruption and related offences </w:t>
      </w:r>
    </w:p>
    <w:p w14:paraId="20C0BD80" w14:textId="77777777" w:rsidR="00EC78EC" w:rsidRPr="006717A5" w:rsidRDefault="00EC78EC" w:rsidP="00EC78EC">
      <w:pPr>
        <w:rPr>
          <w:lang w:val="en-GB"/>
        </w:rPr>
      </w:pPr>
      <w:r w:rsidRPr="006717A5">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1D32A38E" w14:textId="77777777" w:rsidR="00EC78EC" w:rsidRPr="006717A5" w:rsidRDefault="00EC78EC" w:rsidP="00EC78EC">
      <w:pPr>
        <w:rPr>
          <w:lang w:val="en-GB"/>
        </w:rPr>
      </w:pPr>
      <w:r w:rsidRPr="006717A5">
        <w:rPr>
          <w:i/>
          <w:iCs/>
          <w:lang w:val="en-GB"/>
        </w:rPr>
        <w:t xml:space="preserve">28. Potential obstacles to investigation and prosecution of high-level and complex corruption cases (e.g. political immunity regulation) </w:t>
      </w:r>
    </w:p>
    <w:p w14:paraId="3AB94013" w14:textId="77777777" w:rsidR="00EC78EC" w:rsidRPr="004B0B2B" w:rsidRDefault="00EC78EC" w:rsidP="00EC78EC">
      <w:pPr>
        <w:rPr>
          <w:b/>
          <w:bCs/>
          <w:i/>
          <w:iCs/>
          <w:lang w:val="en-GB"/>
        </w:rPr>
      </w:pPr>
      <w:r w:rsidRPr="006717A5">
        <w:rPr>
          <w:b/>
          <w:bCs/>
          <w:i/>
          <w:iCs/>
          <w:lang w:val="en-GB"/>
        </w:rPr>
        <w:t xml:space="preserve">Other – please specify </w:t>
      </w:r>
    </w:p>
    <w:p w14:paraId="6FDBE94C" w14:textId="77777777" w:rsidR="00EC78EC" w:rsidRPr="006717A5" w:rsidRDefault="00EC78EC" w:rsidP="00EC78EC">
      <w:pPr>
        <w:rPr>
          <w:lang w:val="en-GB"/>
        </w:rPr>
      </w:pPr>
      <w:r w:rsidRPr="006717A5">
        <w:rPr>
          <w:b/>
          <w:bCs/>
          <w:lang w:val="en-GB"/>
        </w:rPr>
        <w:t xml:space="preserve">III. Media pluralism </w:t>
      </w:r>
    </w:p>
    <w:p w14:paraId="629204FD" w14:textId="77777777" w:rsidR="00EC78EC" w:rsidRPr="006717A5" w:rsidRDefault="00EC78EC" w:rsidP="00EC78EC">
      <w:pPr>
        <w:rPr>
          <w:lang w:val="en-GB"/>
        </w:rPr>
      </w:pPr>
      <w:r w:rsidRPr="006717A5">
        <w:rPr>
          <w:b/>
          <w:bCs/>
          <w:i/>
          <w:iCs/>
          <w:lang w:val="en-GB"/>
        </w:rPr>
        <w:t xml:space="preserve">A. Media authorities and bodies </w:t>
      </w:r>
    </w:p>
    <w:p w14:paraId="16D64BD5" w14:textId="77777777" w:rsidR="00EC78EC" w:rsidRPr="006717A5" w:rsidRDefault="00EC78EC" w:rsidP="00EC78EC">
      <w:pPr>
        <w:rPr>
          <w:lang w:val="en-GB"/>
        </w:rPr>
      </w:pPr>
      <w:r w:rsidRPr="006717A5">
        <w:rPr>
          <w:i/>
          <w:iCs/>
          <w:lang w:val="en-GB"/>
        </w:rPr>
        <w:t xml:space="preserve">29. Independence, enforcement powers and adequacy of resources of media regulatory authorities and bodies </w:t>
      </w:r>
    </w:p>
    <w:p w14:paraId="3627EFC3" w14:textId="77777777" w:rsidR="00EC78EC" w:rsidRPr="006717A5" w:rsidRDefault="00EC78EC" w:rsidP="00EC78EC">
      <w:pPr>
        <w:rPr>
          <w:lang w:val="en-GB"/>
        </w:rPr>
      </w:pPr>
      <w:r w:rsidRPr="006717A5">
        <w:rPr>
          <w:i/>
          <w:iCs/>
          <w:lang w:val="en-GB"/>
        </w:rPr>
        <w:t xml:space="preserve">30. Conditions and procedures for the appointment and dismissal of the head / members of the collegiate body of media regulatory authorities and bodies </w:t>
      </w:r>
    </w:p>
    <w:p w14:paraId="3525ED53" w14:textId="77777777" w:rsidR="00EC78EC" w:rsidRPr="006717A5" w:rsidRDefault="00EC78EC" w:rsidP="00EC78EC">
      <w:pPr>
        <w:rPr>
          <w:lang w:val="en-GB"/>
        </w:rPr>
      </w:pPr>
      <w:r w:rsidRPr="006717A5">
        <w:rPr>
          <w:i/>
          <w:iCs/>
          <w:lang w:val="en-GB"/>
        </w:rPr>
        <w:t xml:space="preserve">31. Existence and functions of media councils or other self-regulatory bodies </w:t>
      </w:r>
    </w:p>
    <w:p w14:paraId="0B0E48B2" w14:textId="77777777" w:rsidR="00EC78EC" w:rsidRPr="006717A5" w:rsidRDefault="00EC78EC" w:rsidP="00EC78EC">
      <w:pPr>
        <w:rPr>
          <w:lang w:val="en-GB"/>
        </w:rPr>
      </w:pPr>
      <w:r w:rsidRPr="006717A5">
        <w:rPr>
          <w:b/>
          <w:bCs/>
          <w:i/>
          <w:iCs/>
          <w:lang w:val="en-GB"/>
        </w:rPr>
        <w:t xml:space="preserve">B. Transparency of media ownership and government interference </w:t>
      </w:r>
    </w:p>
    <w:p w14:paraId="3E078957" w14:textId="77777777" w:rsidR="00EC78EC" w:rsidRPr="006717A5" w:rsidRDefault="00EC78EC" w:rsidP="00EC78EC">
      <w:pPr>
        <w:rPr>
          <w:lang w:val="en-GB"/>
        </w:rPr>
      </w:pPr>
      <w:r w:rsidRPr="006717A5">
        <w:rPr>
          <w:i/>
          <w:iCs/>
          <w:lang w:val="en-GB"/>
        </w:rPr>
        <w:t xml:space="preserve">32. The transparent allocation of state advertising (including any rules regulating the matter); other safeguards against state / political interference </w:t>
      </w:r>
    </w:p>
    <w:p w14:paraId="422C9CAE" w14:textId="77777777" w:rsidR="00EC78EC" w:rsidRPr="006717A5" w:rsidRDefault="00EC78EC" w:rsidP="00EC78EC">
      <w:pPr>
        <w:rPr>
          <w:lang w:val="en-GB"/>
        </w:rPr>
      </w:pPr>
      <w:r w:rsidRPr="006717A5">
        <w:rPr>
          <w:i/>
          <w:iCs/>
          <w:lang w:val="en-GB"/>
        </w:rPr>
        <w:t xml:space="preserve">33. Rules governing transparency of media ownership and public availability of media ownership information </w:t>
      </w:r>
    </w:p>
    <w:p w14:paraId="4483A364" w14:textId="77777777" w:rsidR="00EC78EC" w:rsidRPr="006717A5" w:rsidRDefault="00EC78EC" w:rsidP="00EC78EC">
      <w:pPr>
        <w:rPr>
          <w:lang w:val="en-GB"/>
        </w:rPr>
      </w:pPr>
      <w:r w:rsidRPr="006717A5">
        <w:rPr>
          <w:b/>
          <w:bCs/>
          <w:i/>
          <w:iCs/>
          <w:lang w:val="en-GB"/>
        </w:rPr>
        <w:t xml:space="preserve">C. Framework for journalists' protection </w:t>
      </w:r>
    </w:p>
    <w:p w14:paraId="0920078D" w14:textId="77777777" w:rsidR="00EC78EC" w:rsidRPr="006717A5" w:rsidRDefault="00EC78EC" w:rsidP="00EC78EC">
      <w:pPr>
        <w:rPr>
          <w:lang w:val="en-GB"/>
        </w:rPr>
      </w:pPr>
      <w:r w:rsidRPr="006717A5">
        <w:rPr>
          <w:i/>
          <w:iCs/>
          <w:lang w:val="en-GB"/>
        </w:rPr>
        <w:t xml:space="preserve">34. Rules and practices guaranteeing journalist's independence and safety </w:t>
      </w:r>
    </w:p>
    <w:p w14:paraId="2CCE65FE" w14:textId="77777777" w:rsidR="00EC78EC" w:rsidRPr="006717A5" w:rsidRDefault="00EC78EC" w:rsidP="00EC78EC">
      <w:pPr>
        <w:rPr>
          <w:lang w:val="en-GB"/>
        </w:rPr>
      </w:pPr>
      <w:r w:rsidRPr="006717A5">
        <w:rPr>
          <w:i/>
          <w:iCs/>
          <w:lang w:val="en-GB"/>
        </w:rPr>
        <w:lastRenderedPageBreak/>
        <w:t xml:space="preserve">35. Law enforcement capacity to ensure journalists' safety and to investigate attacks on journalists </w:t>
      </w:r>
    </w:p>
    <w:p w14:paraId="052B9CD7" w14:textId="77777777" w:rsidR="00EC78EC" w:rsidRPr="006717A5" w:rsidRDefault="00EC78EC" w:rsidP="00EC78EC">
      <w:pPr>
        <w:rPr>
          <w:lang w:val="en-GB"/>
        </w:rPr>
      </w:pPr>
      <w:r w:rsidRPr="006717A5">
        <w:rPr>
          <w:i/>
          <w:iCs/>
          <w:lang w:val="en-GB"/>
        </w:rPr>
        <w:t xml:space="preserve">36. Access to information and public documents </w:t>
      </w:r>
    </w:p>
    <w:p w14:paraId="752C963B" w14:textId="77777777" w:rsidR="00EC78EC" w:rsidRPr="006717A5" w:rsidRDefault="00EC78EC" w:rsidP="00EC78EC">
      <w:pPr>
        <w:rPr>
          <w:lang w:val="en-GB"/>
        </w:rPr>
      </w:pPr>
      <w:r w:rsidRPr="006717A5">
        <w:rPr>
          <w:i/>
          <w:iCs/>
          <w:lang w:val="en-GB"/>
        </w:rPr>
        <w:t xml:space="preserve">37. Lawsuits and convictions against journalists (incl. defamation cases) and safeguards against abuse </w:t>
      </w:r>
    </w:p>
    <w:p w14:paraId="4A8C4321" w14:textId="42BCDA4D" w:rsidR="00EC78EC" w:rsidRDefault="00EC78EC" w:rsidP="00EC78EC">
      <w:pPr>
        <w:rPr>
          <w:b/>
          <w:bCs/>
          <w:i/>
          <w:iCs/>
          <w:lang w:val="en-GB"/>
        </w:rPr>
      </w:pPr>
      <w:r w:rsidRPr="006717A5">
        <w:rPr>
          <w:b/>
          <w:bCs/>
          <w:i/>
          <w:iCs/>
          <w:lang w:val="en-GB"/>
        </w:rPr>
        <w:t xml:space="preserve">Other – please specify </w:t>
      </w:r>
    </w:p>
    <w:p w14:paraId="620F9B21" w14:textId="77777777" w:rsidR="004F01BF" w:rsidRPr="004B0B2B" w:rsidRDefault="004F01BF" w:rsidP="00EC78EC">
      <w:pPr>
        <w:rPr>
          <w:b/>
          <w:bCs/>
          <w:i/>
          <w:iCs/>
          <w:lang w:val="en-GB"/>
        </w:rPr>
      </w:pPr>
    </w:p>
    <w:p w14:paraId="01F81FD6" w14:textId="77777777" w:rsidR="00EC78EC" w:rsidRPr="006717A5" w:rsidRDefault="00EC78EC" w:rsidP="00EC78EC">
      <w:pPr>
        <w:rPr>
          <w:lang w:val="en-GB"/>
        </w:rPr>
      </w:pPr>
      <w:r w:rsidRPr="006717A5">
        <w:rPr>
          <w:b/>
          <w:bCs/>
          <w:lang w:val="en-GB"/>
        </w:rPr>
        <w:t xml:space="preserve">IV. Other institutional issues related to checks and balances </w:t>
      </w:r>
    </w:p>
    <w:p w14:paraId="41631B6C" w14:textId="77777777" w:rsidR="004F01BF" w:rsidRDefault="004F01BF" w:rsidP="00EC78EC">
      <w:pPr>
        <w:rPr>
          <w:b/>
          <w:bCs/>
          <w:i/>
          <w:iCs/>
          <w:lang w:val="en-GB"/>
        </w:rPr>
      </w:pPr>
    </w:p>
    <w:p w14:paraId="26E9F5DD" w14:textId="0BBF350E" w:rsidR="00EC78EC" w:rsidRPr="006717A5" w:rsidRDefault="00EC78EC" w:rsidP="00EC78EC">
      <w:pPr>
        <w:rPr>
          <w:lang w:val="en-GB"/>
        </w:rPr>
      </w:pPr>
      <w:r w:rsidRPr="006717A5">
        <w:rPr>
          <w:b/>
          <w:bCs/>
          <w:i/>
          <w:iCs/>
          <w:lang w:val="en-GB"/>
        </w:rPr>
        <w:t xml:space="preserve">A. The process for preparing and enacting laws </w:t>
      </w:r>
    </w:p>
    <w:p w14:paraId="506E13F9" w14:textId="6CF008B5" w:rsidR="00EC78EC" w:rsidRDefault="00EC78EC" w:rsidP="00EC78EC">
      <w:pPr>
        <w:rPr>
          <w:i/>
          <w:iCs/>
          <w:lang w:val="en-GB"/>
        </w:rPr>
      </w:pPr>
      <w:r w:rsidRPr="006717A5">
        <w:rPr>
          <w:i/>
          <w:iCs/>
          <w:lang w:val="en-GB"/>
        </w:rPr>
        <w:t>38. Framework, policy and use of impact assessments, stakeholders'/public consultations (particularly consultation of judiciary on judicial reforms), and transparency and quality of the legislative process</w:t>
      </w:r>
    </w:p>
    <w:p w14:paraId="3561950C" w14:textId="1DFD6076" w:rsidR="00EC78EC" w:rsidRDefault="00275416" w:rsidP="008F5AFC">
      <w:pPr>
        <w:jc w:val="both"/>
        <w:rPr>
          <w:lang w:val="en-GB"/>
        </w:rPr>
      </w:pPr>
      <w:r>
        <w:rPr>
          <w:lang w:val="en-GB"/>
        </w:rPr>
        <w:t>I</w:t>
      </w:r>
      <w:r w:rsidRPr="009D0626">
        <w:rPr>
          <w:lang w:val="en-GB"/>
        </w:rPr>
        <w:t xml:space="preserve">n its 2018 </w:t>
      </w:r>
      <w:r>
        <w:rPr>
          <w:lang w:val="en-GB"/>
        </w:rPr>
        <w:t>c</w:t>
      </w:r>
      <w:r w:rsidRPr="009D0626">
        <w:rPr>
          <w:lang w:val="en-GB"/>
        </w:rPr>
        <w:t>oncluding observation</w:t>
      </w:r>
      <w:r>
        <w:rPr>
          <w:lang w:val="en-GB"/>
        </w:rPr>
        <w:t>s, t</w:t>
      </w:r>
      <w:r w:rsidR="009D0626" w:rsidRPr="009D0626">
        <w:rPr>
          <w:lang w:val="en-GB"/>
        </w:rPr>
        <w:t xml:space="preserve">he Committee on the Rights of Persons with Disabilities </w:t>
      </w:r>
      <w:r>
        <w:rPr>
          <w:lang w:val="en-GB"/>
        </w:rPr>
        <w:t>expressed</w:t>
      </w:r>
      <w:r w:rsidR="009D0626">
        <w:rPr>
          <w:lang w:val="en-GB"/>
        </w:rPr>
        <w:t xml:space="preserve"> </w:t>
      </w:r>
      <w:r w:rsidR="00EC78EC">
        <w:rPr>
          <w:lang w:val="en-GB"/>
        </w:rPr>
        <w:t>concern about</w:t>
      </w:r>
      <w:r w:rsidR="008F5AFC">
        <w:rPr>
          <w:lang w:val="en-GB"/>
        </w:rPr>
        <w:t xml:space="preserve"> </w:t>
      </w:r>
      <w:r>
        <w:rPr>
          <w:lang w:val="en-GB"/>
        </w:rPr>
        <w:t>t</w:t>
      </w:r>
      <w:r w:rsidR="00EC78EC" w:rsidRPr="009D0626">
        <w:rPr>
          <w:lang w:val="en-GB"/>
        </w:rPr>
        <w:t>he lack of consultation with organizations of persons with disabilities aimed at ensuring their meaningful involvement in the design and implementation of disability-related legislation and programmes</w:t>
      </w:r>
      <w:r w:rsidR="009D0626">
        <w:rPr>
          <w:lang w:val="en-GB"/>
        </w:rPr>
        <w:t>;</w:t>
      </w:r>
      <w:r w:rsidR="00EC78EC" w:rsidRPr="009D0626">
        <w:rPr>
          <w:lang w:val="en-GB"/>
        </w:rPr>
        <w:t xml:space="preserve"> </w:t>
      </w:r>
      <w:r>
        <w:rPr>
          <w:lang w:val="en-GB"/>
        </w:rPr>
        <w:t>t</w:t>
      </w:r>
      <w:r w:rsidR="00EC78EC" w:rsidRPr="00EC78EC">
        <w:rPr>
          <w:lang w:val="en-GB"/>
        </w:rPr>
        <w:t xml:space="preserve">he lack of awareness among decision makers in the executive and legislative branches and among professional and administrative staff about </w:t>
      </w:r>
      <w:r>
        <w:rPr>
          <w:lang w:val="en-GB"/>
        </w:rPr>
        <w:t>Slovenia’s</w:t>
      </w:r>
      <w:r w:rsidRPr="00EC78EC">
        <w:rPr>
          <w:lang w:val="en-GB"/>
        </w:rPr>
        <w:t xml:space="preserve"> </w:t>
      </w:r>
      <w:r w:rsidR="00EC78EC" w:rsidRPr="00EC78EC">
        <w:rPr>
          <w:lang w:val="en-GB"/>
        </w:rPr>
        <w:t>obligations under the Convention</w:t>
      </w:r>
      <w:r>
        <w:rPr>
          <w:lang w:val="en-GB"/>
        </w:rPr>
        <w:t xml:space="preserve"> </w:t>
      </w:r>
      <w:r w:rsidRPr="00275416">
        <w:rPr>
          <w:lang w:val="en-GB"/>
        </w:rPr>
        <w:t>on the Rights of Persons with Disabilities</w:t>
      </w:r>
      <w:r w:rsidR="00EC78EC" w:rsidRPr="00EC78EC">
        <w:rPr>
          <w:lang w:val="en-GB"/>
        </w:rPr>
        <w:t>, in all areas of life</w:t>
      </w:r>
      <w:r w:rsidR="00243051">
        <w:rPr>
          <w:lang w:val="en-GB"/>
        </w:rPr>
        <w:t xml:space="preserve"> (</w:t>
      </w:r>
      <w:hyperlink r:id="rId7" w:history="1">
        <w:r w:rsidR="00EC78EC" w:rsidRPr="00EC78EC">
          <w:rPr>
            <w:rStyle w:val="Hyperlink"/>
            <w:lang w:val="en-GB"/>
          </w:rPr>
          <w:t>CRPD/C/SVN/CO/1</w:t>
        </w:r>
      </w:hyperlink>
      <w:r w:rsidR="00EC78EC">
        <w:rPr>
          <w:lang w:val="en-GB"/>
        </w:rPr>
        <w:t xml:space="preserve"> para 4)</w:t>
      </w:r>
      <w:r w:rsidR="00EC78EC" w:rsidRPr="00EC78EC">
        <w:rPr>
          <w:lang w:val="en-GB"/>
        </w:rPr>
        <w:t>.</w:t>
      </w:r>
    </w:p>
    <w:p w14:paraId="4E3CC47A" w14:textId="4059751C" w:rsidR="00EC78EC" w:rsidRDefault="00EC78EC" w:rsidP="00EC78EC">
      <w:pPr>
        <w:jc w:val="both"/>
        <w:rPr>
          <w:lang w:val="en-GB"/>
        </w:rPr>
      </w:pPr>
    </w:p>
    <w:p w14:paraId="5C0B18A2" w14:textId="77777777" w:rsidR="00EC78EC" w:rsidRPr="006717A5" w:rsidRDefault="00EC78EC" w:rsidP="00EC78EC">
      <w:pPr>
        <w:rPr>
          <w:i/>
          <w:iCs/>
          <w:lang w:val="en-GB"/>
        </w:rPr>
      </w:pPr>
      <w:r w:rsidRPr="006717A5">
        <w:rPr>
          <w:i/>
          <w:iCs/>
          <w:lang w:val="en-GB"/>
        </w:rPr>
        <w:t xml:space="preserve">39. Rules and use of fast-track procedures and emergency procedures (for example, the percentage of decisions adopted through emergency/urgent procedure compared to the total number of adopted decisions) </w:t>
      </w:r>
    </w:p>
    <w:p w14:paraId="30BCDB64" w14:textId="77777777" w:rsidR="00EC78EC" w:rsidRPr="006717A5" w:rsidRDefault="00EC78EC" w:rsidP="00EC78EC">
      <w:pPr>
        <w:rPr>
          <w:lang w:val="en-GB"/>
        </w:rPr>
      </w:pPr>
      <w:r w:rsidRPr="006717A5">
        <w:rPr>
          <w:i/>
          <w:iCs/>
          <w:lang w:val="en-GB"/>
        </w:rPr>
        <w:t xml:space="preserve">40. Regime for constitutional review of laws </w:t>
      </w:r>
    </w:p>
    <w:p w14:paraId="58394B51" w14:textId="77777777" w:rsidR="00EC78EC" w:rsidRPr="006717A5" w:rsidRDefault="00EC78EC" w:rsidP="00EC78EC">
      <w:pPr>
        <w:rPr>
          <w:lang w:val="en-GB"/>
        </w:rPr>
      </w:pPr>
      <w:r w:rsidRPr="006717A5">
        <w:rPr>
          <w:i/>
          <w:iCs/>
          <w:lang w:val="en-GB"/>
        </w:rPr>
        <w:t xml:space="preserve">41. COVID-19: provide update on significant developments with regard to emergency regimes in the context of the COVID-19 pandemic </w:t>
      </w:r>
    </w:p>
    <w:p w14:paraId="290B40E9" w14:textId="77777777" w:rsidR="00EC78EC" w:rsidRPr="006717A5" w:rsidRDefault="00EC78EC" w:rsidP="00EC78EC">
      <w:pPr>
        <w:rPr>
          <w:lang w:val="en-GB"/>
        </w:rPr>
      </w:pPr>
      <w:r w:rsidRPr="006717A5">
        <w:rPr>
          <w:lang w:val="en-GB"/>
        </w:rPr>
        <w:t xml:space="preserve">- </w:t>
      </w:r>
      <w:proofErr w:type="gramStart"/>
      <w:r w:rsidRPr="006717A5">
        <w:rPr>
          <w:i/>
          <w:iCs/>
          <w:lang w:val="en-GB"/>
        </w:rPr>
        <w:t>judicial</w:t>
      </w:r>
      <w:proofErr w:type="gramEnd"/>
      <w:r w:rsidRPr="006717A5">
        <w:rPr>
          <w:i/>
          <w:iCs/>
          <w:lang w:val="en-GB"/>
        </w:rPr>
        <w:t xml:space="preserve"> review (including constitutional review) of emergency regimes and measures in the context of COVID-19 pandemic </w:t>
      </w:r>
    </w:p>
    <w:p w14:paraId="2FC6065C" w14:textId="77777777" w:rsidR="00EC78EC" w:rsidRPr="006717A5" w:rsidRDefault="00EC78EC" w:rsidP="00EC78EC">
      <w:pPr>
        <w:rPr>
          <w:lang w:val="en-GB"/>
        </w:rPr>
      </w:pPr>
      <w:r w:rsidRPr="006717A5">
        <w:rPr>
          <w:lang w:val="en-GB"/>
        </w:rPr>
        <w:t xml:space="preserve">- </w:t>
      </w:r>
      <w:proofErr w:type="gramStart"/>
      <w:r w:rsidRPr="006717A5">
        <w:rPr>
          <w:i/>
          <w:iCs/>
          <w:lang w:val="en-GB"/>
        </w:rPr>
        <w:t>oversight</w:t>
      </w:r>
      <w:proofErr w:type="gramEnd"/>
      <w:r w:rsidRPr="006717A5">
        <w:rPr>
          <w:i/>
          <w:iCs/>
          <w:lang w:val="en-GB"/>
        </w:rPr>
        <w:t xml:space="preserve"> by Parliament of emergency regimes and measures in the context of COVID-19 pandemic </w:t>
      </w:r>
    </w:p>
    <w:p w14:paraId="5AEEB77C" w14:textId="23A0FFB0" w:rsidR="00EC78EC" w:rsidRDefault="00EC78EC" w:rsidP="00EC78EC">
      <w:pPr>
        <w:rPr>
          <w:i/>
          <w:iCs/>
          <w:lang w:val="en-GB"/>
        </w:rPr>
      </w:pPr>
      <w:r w:rsidRPr="006717A5">
        <w:rPr>
          <w:lang w:val="en-GB"/>
        </w:rPr>
        <w:t xml:space="preserve">- </w:t>
      </w:r>
      <w:proofErr w:type="gramStart"/>
      <w:r w:rsidRPr="006717A5">
        <w:rPr>
          <w:i/>
          <w:iCs/>
          <w:lang w:val="en-GB"/>
        </w:rPr>
        <w:t>measures</w:t>
      </w:r>
      <w:proofErr w:type="gramEnd"/>
      <w:r w:rsidRPr="006717A5">
        <w:rPr>
          <w:i/>
          <w:iCs/>
          <w:lang w:val="en-GB"/>
        </w:rPr>
        <w:t xml:space="preserve"> taken to ensure the continued activity of Parliament (including possible best practices) </w:t>
      </w:r>
    </w:p>
    <w:p w14:paraId="727DD581" w14:textId="77777777" w:rsidR="008F5AFC" w:rsidRPr="006717A5" w:rsidRDefault="008F5AFC" w:rsidP="00EC78EC">
      <w:pPr>
        <w:rPr>
          <w:lang w:val="en-GB"/>
        </w:rPr>
      </w:pPr>
    </w:p>
    <w:p w14:paraId="1301F581" w14:textId="77777777" w:rsidR="00EC78EC" w:rsidRPr="006717A5" w:rsidRDefault="00EC78EC" w:rsidP="00EC78EC">
      <w:pPr>
        <w:rPr>
          <w:lang w:val="en-GB"/>
        </w:rPr>
      </w:pPr>
      <w:r w:rsidRPr="006717A5">
        <w:rPr>
          <w:b/>
          <w:bCs/>
          <w:i/>
          <w:iCs/>
          <w:lang w:val="en-GB"/>
        </w:rPr>
        <w:t xml:space="preserve">B. Independent authorities </w:t>
      </w:r>
    </w:p>
    <w:p w14:paraId="4D340717" w14:textId="7AAD81AA" w:rsidR="00EC78EC" w:rsidRDefault="00EC78EC" w:rsidP="000D703F">
      <w:pPr>
        <w:jc w:val="both"/>
        <w:rPr>
          <w:i/>
          <w:iCs/>
          <w:lang w:val="en-GB"/>
        </w:rPr>
      </w:pPr>
      <w:r w:rsidRPr="006717A5">
        <w:rPr>
          <w:i/>
          <w:iCs/>
          <w:lang w:val="en-GB"/>
        </w:rPr>
        <w:t>42. Independence, capacity and powers of national human rights institutions (‘NHRIs’), of ombudsman institutions if different from NHRIs, of equality bodies if different from NHRIs and of supreme audit institutions</w:t>
      </w:r>
    </w:p>
    <w:p w14:paraId="0A115731" w14:textId="53C522A1" w:rsidR="00085E79" w:rsidRDefault="00085E79" w:rsidP="00085E79">
      <w:pPr>
        <w:jc w:val="both"/>
        <w:rPr>
          <w:lang w:val="en-GB"/>
        </w:rPr>
      </w:pPr>
    </w:p>
    <w:p w14:paraId="65ABDC40" w14:textId="6ADF9D38" w:rsidR="00F144AB" w:rsidRDefault="00F144AB" w:rsidP="00F144AB">
      <w:pPr>
        <w:jc w:val="both"/>
        <w:rPr>
          <w:lang w:val="en-GB"/>
        </w:rPr>
      </w:pPr>
      <w:r>
        <w:rPr>
          <w:lang w:val="en-GB"/>
        </w:rPr>
        <w:t>I</w:t>
      </w:r>
      <w:r w:rsidRPr="00560E4B">
        <w:rPr>
          <w:lang w:val="en-GB"/>
        </w:rPr>
        <w:t xml:space="preserve">n its 2018 </w:t>
      </w:r>
      <w:r>
        <w:rPr>
          <w:lang w:val="en-GB"/>
        </w:rPr>
        <w:t>c</w:t>
      </w:r>
      <w:r w:rsidRPr="00560E4B">
        <w:rPr>
          <w:lang w:val="en-GB"/>
        </w:rPr>
        <w:t>oncluding observation</w:t>
      </w:r>
      <w:r>
        <w:rPr>
          <w:lang w:val="en-GB"/>
        </w:rPr>
        <w:t>s, t</w:t>
      </w:r>
      <w:r w:rsidRPr="00560E4B">
        <w:rPr>
          <w:lang w:val="en-GB"/>
        </w:rPr>
        <w:t xml:space="preserve">he Committee on the Rights of Persons with Disabilities </w:t>
      </w:r>
      <w:r>
        <w:rPr>
          <w:lang w:val="en-GB"/>
        </w:rPr>
        <w:t xml:space="preserve">was </w:t>
      </w:r>
      <w:r w:rsidRPr="00560E4B">
        <w:rPr>
          <w:lang w:val="en-GB"/>
        </w:rPr>
        <w:t>concerned about the limited capacity of the national preventive mechanism of the Human Rights Ombudsman to effectively address allegations of torture and ill-treatment against persons with disabilities in institutions</w:t>
      </w:r>
      <w:r>
        <w:rPr>
          <w:lang w:val="en-GB"/>
        </w:rPr>
        <w:t>. It also expressed concern at t</w:t>
      </w:r>
      <w:r w:rsidRPr="000D703F">
        <w:rPr>
          <w:lang w:val="en-GB"/>
        </w:rPr>
        <w:t>he lack of independence, capacity and resources of the Council of Slovenia for Persons with Disabilities designated as the independent monitoring framework for the implementation of the Convention</w:t>
      </w:r>
      <w:r w:rsidRPr="00560E4B">
        <w:rPr>
          <w:lang w:val="en-GB"/>
        </w:rPr>
        <w:t xml:space="preserve"> (</w:t>
      </w:r>
      <w:hyperlink r:id="rId8" w:history="1">
        <w:r w:rsidRPr="00560E4B">
          <w:rPr>
            <w:rStyle w:val="Hyperlink"/>
            <w:lang w:val="en-GB"/>
          </w:rPr>
          <w:t>CRPD/C/SVN/CO/1</w:t>
        </w:r>
      </w:hyperlink>
      <w:r w:rsidRPr="00560E4B">
        <w:rPr>
          <w:lang w:val="en-GB"/>
        </w:rPr>
        <w:t xml:space="preserve"> para 25</w:t>
      </w:r>
      <w:r>
        <w:rPr>
          <w:lang w:val="en-GB"/>
        </w:rPr>
        <w:t>, 57</w:t>
      </w:r>
      <w:r w:rsidRPr="00560E4B">
        <w:rPr>
          <w:lang w:val="en-GB"/>
        </w:rPr>
        <w:t>).</w:t>
      </w:r>
    </w:p>
    <w:p w14:paraId="00813220" w14:textId="77777777" w:rsidR="008F5AFC" w:rsidRPr="00560E4B" w:rsidRDefault="008F5AFC" w:rsidP="00F144AB">
      <w:pPr>
        <w:jc w:val="both"/>
        <w:rPr>
          <w:lang w:val="en-GB"/>
        </w:rPr>
      </w:pPr>
    </w:p>
    <w:p w14:paraId="6C59935A" w14:textId="49B6D593" w:rsidR="00085E79" w:rsidRDefault="000B1B31" w:rsidP="00085E79">
      <w:pPr>
        <w:jc w:val="both"/>
        <w:rPr>
          <w:lang w:val="en-GB"/>
        </w:rPr>
      </w:pPr>
      <w:r>
        <w:rPr>
          <w:lang w:val="en-GB"/>
        </w:rPr>
        <w:t>I</w:t>
      </w:r>
      <w:r w:rsidRPr="009D0626">
        <w:rPr>
          <w:lang w:val="en-GB"/>
        </w:rPr>
        <w:t>n the 2019 report following his visit to Slovenia</w:t>
      </w:r>
      <w:r>
        <w:rPr>
          <w:lang w:val="en-GB"/>
        </w:rPr>
        <w:t>, t</w:t>
      </w:r>
      <w:r w:rsidR="009D0626" w:rsidRPr="009D0626">
        <w:rPr>
          <w:lang w:val="en-GB"/>
        </w:rPr>
        <w:t xml:space="preserve">he Special Rapporteur on minority issues </w:t>
      </w:r>
      <w:r w:rsidR="00085E79" w:rsidRPr="00085E79">
        <w:rPr>
          <w:lang w:val="en-GB"/>
        </w:rPr>
        <w:t>welcome</w:t>
      </w:r>
      <w:r w:rsidR="009D0626">
        <w:rPr>
          <w:lang w:val="en-GB"/>
        </w:rPr>
        <w:t>d</w:t>
      </w:r>
      <w:r w:rsidR="00085E79" w:rsidRPr="00085E79">
        <w:rPr>
          <w:lang w:val="en-GB"/>
        </w:rPr>
        <w:t xml:space="preserve"> the amendments to the Human Rights Ombudsman Act made in late 2017, which set out a new legal basis for the Office of the Ombudsman to apply for A</w:t>
      </w:r>
      <w:r>
        <w:rPr>
          <w:lang w:val="en-GB"/>
        </w:rPr>
        <w:t>-</w:t>
      </w:r>
      <w:r w:rsidR="00085E79" w:rsidRPr="00085E79">
        <w:rPr>
          <w:lang w:val="en-GB"/>
        </w:rPr>
        <w:t xml:space="preserve">status under the Paris </w:t>
      </w:r>
      <w:r w:rsidR="00085E79" w:rsidRPr="00085E79">
        <w:rPr>
          <w:lang w:val="en-GB"/>
        </w:rPr>
        <w:lastRenderedPageBreak/>
        <w:t>Principles. The</w:t>
      </w:r>
      <w:r w:rsidR="00085E79">
        <w:rPr>
          <w:lang w:val="en-GB"/>
        </w:rPr>
        <w:t xml:space="preserve"> </w:t>
      </w:r>
      <w:r w:rsidR="00085E79" w:rsidRPr="00085E79">
        <w:rPr>
          <w:lang w:val="en-GB"/>
        </w:rPr>
        <w:t>amendments provide for the establishment of a consultative body to the Ombudsman, with pluralistic representation in order to strengthen cooperation with civil society, as well as the establishment of a centre for human rights as a component dealing with a general mandate in relation to educational, training and promotional activities. Additional financial support for the office and further staff to aid in the fulfilment of its mandate were also envisaged</w:t>
      </w:r>
      <w:r w:rsidR="00085E79">
        <w:rPr>
          <w:lang w:val="en-GB"/>
        </w:rPr>
        <w:t xml:space="preserve"> (</w:t>
      </w:r>
      <w:hyperlink r:id="rId9" w:history="1">
        <w:r w:rsidR="00085E79" w:rsidRPr="00085E79">
          <w:rPr>
            <w:rStyle w:val="Hyperlink"/>
            <w:lang w:val="en-GB"/>
          </w:rPr>
          <w:t>A/HRC/40/64/Add.1</w:t>
        </w:r>
      </w:hyperlink>
      <w:r w:rsidR="00085E79">
        <w:rPr>
          <w:lang w:val="en-GB"/>
        </w:rPr>
        <w:t xml:space="preserve"> para 19)</w:t>
      </w:r>
      <w:r w:rsidR="00085E79" w:rsidRPr="00085E79">
        <w:rPr>
          <w:lang w:val="en-GB"/>
        </w:rPr>
        <w:t>.</w:t>
      </w:r>
      <w:r>
        <w:rPr>
          <w:lang w:val="en-GB"/>
        </w:rPr>
        <w:t xml:space="preserve"> </w:t>
      </w:r>
    </w:p>
    <w:p w14:paraId="03EBF497" w14:textId="0E13042C" w:rsidR="000B1B31" w:rsidRDefault="000B1B31" w:rsidP="00085E79">
      <w:pPr>
        <w:jc w:val="both"/>
        <w:rPr>
          <w:lang w:val="en-GB"/>
        </w:rPr>
      </w:pPr>
    </w:p>
    <w:p w14:paraId="6DA7ADE7" w14:textId="5FA7334D" w:rsidR="008F5AFC" w:rsidRDefault="000B1B31" w:rsidP="00F144AB">
      <w:pPr>
        <w:jc w:val="both"/>
        <w:rPr>
          <w:lang w:val="en-US"/>
        </w:rPr>
      </w:pPr>
      <w:r w:rsidRPr="00F144AB">
        <w:rPr>
          <w:lang w:val="en-GB"/>
        </w:rPr>
        <w:t>In December 2020,</w:t>
      </w:r>
      <w:r w:rsidRPr="008F5AFC">
        <w:rPr>
          <w:lang w:val="en-US"/>
        </w:rPr>
        <w:t xml:space="preserve"> </w:t>
      </w:r>
      <w:r w:rsidRPr="00F144AB">
        <w:rPr>
          <w:lang w:val="en-GB"/>
        </w:rPr>
        <w:t xml:space="preserve">GANHRI Sub-Committee on Accreditation (SCA) recommended that the Ombudsman office be re-accredited with </w:t>
      </w:r>
      <w:proofErr w:type="gramStart"/>
      <w:r w:rsidRPr="00F144AB">
        <w:rPr>
          <w:lang w:val="en-GB"/>
        </w:rPr>
        <w:t>A</w:t>
      </w:r>
      <w:proofErr w:type="gramEnd"/>
      <w:r w:rsidRPr="00F144AB">
        <w:rPr>
          <w:lang w:val="en-GB"/>
        </w:rPr>
        <w:t xml:space="preserve"> status. The SCA commended the efforts undertaken by the Ombudsman to advocate for the 2017</w:t>
      </w:r>
      <w:r w:rsidRPr="00AD39A8">
        <w:rPr>
          <w:lang w:val="en-GB"/>
        </w:rPr>
        <w:t xml:space="preserve"> amendments to its enabling legislation. It encouraged</w:t>
      </w:r>
      <w:r w:rsidRPr="008F5AFC">
        <w:rPr>
          <w:lang w:val="en-GB"/>
        </w:rPr>
        <w:t xml:space="preserve"> the Ombudsman to continue efforts to address all human rights issues affecting the society in which it operates, including the rights of migrants and refugees, rights of persons with disabilities, and human trafficking.</w:t>
      </w:r>
      <w:r w:rsidR="00F144AB" w:rsidRPr="008F5AFC">
        <w:rPr>
          <w:lang w:val="en-GB"/>
        </w:rPr>
        <w:t xml:space="preserve"> The SCA specifically recommended that the Ombudsman office </w:t>
      </w:r>
      <w:r w:rsidR="00F144AB" w:rsidRPr="008F5AFC">
        <w:rPr>
          <w:lang w:val="en-US"/>
        </w:rPr>
        <w:t xml:space="preserve">advocate for the formalization and application of a broader and more transparent selection and appointment process. Noting that while the NHRI’s funding situation had improved, it would benefit from additional funding in order to continue to carry out its functions effectively, it also recommended the </w:t>
      </w:r>
      <w:r w:rsidR="00F144AB" w:rsidRPr="00F144AB">
        <w:rPr>
          <w:lang w:val="en-GB"/>
        </w:rPr>
        <w:t xml:space="preserve">Ombudsman’s office </w:t>
      </w:r>
      <w:r w:rsidR="00F144AB" w:rsidRPr="008F5AFC">
        <w:rPr>
          <w:lang w:val="en-US"/>
        </w:rPr>
        <w:t xml:space="preserve">advocate for more adequate funding as well as for appropriate modifications to applicable administrative procedures to ensure that its independence and financial autonomy is guaranteed. </w:t>
      </w:r>
      <w:r w:rsidR="00F144AB">
        <w:rPr>
          <w:lang w:val="en-US"/>
        </w:rPr>
        <w:t>Noting that the law as amended in 2017 did</w:t>
      </w:r>
      <w:r w:rsidR="00F144AB" w:rsidRPr="00F144AB">
        <w:rPr>
          <w:lang w:val="en-US"/>
        </w:rPr>
        <w:t xml:space="preserve"> not</w:t>
      </w:r>
      <w:r w:rsidR="008F5AFC">
        <w:rPr>
          <w:lang w:val="en-US"/>
        </w:rPr>
        <w:t xml:space="preserve"> </w:t>
      </w:r>
      <w:r w:rsidR="00F144AB" w:rsidRPr="00F144AB">
        <w:rPr>
          <w:lang w:val="en-US"/>
        </w:rPr>
        <w:t>explicitly mandate the Ombudsman to</w:t>
      </w:r>
      <w:r w:rsidR="008F5AFC">
        <w:rPr>
          <w:lang w:val="en-US"/>
        </w:rPr>
        <w:t xml:space="preserve"> </w:t>
      </w:r>
      <w:r w:rsidR="00F144AB" w:rsidRPr="00F144AB">
        <w:rPr>
          <w:lang w:val="en-US"/>
        </w:rPr>
        <w:t>encourage</w:t>
      </w:r>
      <w:r w:rsidR="008F5AFC">
        <w:rPr>
          <w:lang w:val="en-US"/>
        </w:rPr>
        <w:t xml:space="preserve"> </w:t>
      </w:r>
      <w:r w:rsidR="00AD39A8">
        <w:rPr>
          <w:lang w:val="en-US"/>
        </w:rPr>
        <w:t>Slovenia</w:t>
      </w:r>
      <w:r w:rsidR="00F144AB" w:rsidRPr="00F144AB">
        <w:rPr>
          <w:lang w:val="en-US"/>
        </w:rPr>
        <w:t xml:space="preserve"> to ratify</w:t>
      </w:r>
      <w:r w:rsidR="008F5AFC">
        <w:rPr>
          <w:lang w:val="en-US"/>
        </w:rPr>
        <w:t xml:space="preserve"> </w:t>
      </w:r>
      <w:r w:rsidR="00F144AB" w:rsidRPr="00F144AB">
        <w:rPr>
          <w:lang w:val="en-US"/>
        </w:rPr>
        <w:t>or</w:t>
      </w:r>
      <w:r w:rsidR="008F5AFC">
        <w:rPr>
          <w:lang w:val="en-US"/>
        </w:rPr>
        <w:t xml:space="preserve"> </w:t>
      </w:r>
      <w:r w:rsidR="00F144AB" w:rsidRPr="00F144AB">
        <w:rPr>
          <w:lang w:val="en-US"/>
        </w:rPr>
        <w:t>accede to international</w:t>
      </w:r>
      <w:r w:rsidR="008F5AFC">
        <w:rPr>
          <w:lang w:val="en-US"/>
        </w:rPr>
        <w:t xml:space="preserve"> </w:t>
      </w:r>
      <w:r w:rsidR="00F144AB" w:rsidRPr="00F144AB">
        <w:rPr>
          <w:lang w:val="en-US"/>
        </w:rPr>
        <w:t>human</w:t>
      </w:r>
      <w:r w:rsidR="008F5AFC">
        <w:rPr>
          <w:lang w:val="en-US"/>
        </w:rPr>
        <w:t xml:space="preserve"> </w:t>
      </w:r>
      <w:r w:rsidR="00F144AB" w:rsidRPr="00F144AB">
        <w:rPr>
          <w:lang w:val="en-US"/>
        </w:rPr>
        <w:t>rights</w:t>
      </w:r>
      <w:r w:rsidR="008F5AFC">
        <w:rPr>
          <w:lang w:val="en-US"/>
        </w:rPr>
        <w:t xml:space="preserve"> </w:t>
      </w:r>
      <w:r w:rsidR="00F144AB" w:rsidRPr="00F144AB">
        <w:rPr>
          <w:lang w:val="en-US"/>
        </w:rPr>
        <w:t>instruments</w:t>
      </w:r>
      <w:r w:rsidR="00AD39A8">
        <w:rPr>
          <w:lang w:val="en-US"/>
        </w:rPr>
        <w:t xml:space="preserve">, the SCA </w:t>
      </w:r>
      <w:r w:rsidR="00AD39A8" w:rsidRPr="00AD39A8">
        <w:rPr>
          <w:lang w:val="en-US"/>
        </w:rPr>
        <w:t>encourage</w:t>
      </w:r>
      <w:r w:rsidR="00AD39A8">
        <w:rPr>
          <w:lang w:val="en-US"/>
        </w:rPr>
        <w:t>d</w:t>
      </w:r>
      <w:r w:rsidR="00AD39A8" w:rsidRPr="00AD39A8">
        <w:rPr>
          <w:lang w:val="en-US"/>
        </w:rPr>
        <w:t xml:space="preserve"> the Ombudsman to advocate for an appropriate legislative amendment to make this ma</w:t>
      </w:r>
      <w:r w:rsidR="00243051">
        <w:rPr>
          <w:lang w:val="en-US"/>
        </w:rPr>
        <w:t>ndate explicit (</w:t>
      </w:r>
      <w:r w:rsidR="008F5AFC" w:rsidRPr="008F5AFC">
        <w:rPr>
          <w:lang w:val="en-US"/>
        </w:rPr>
        <w:t>GANHRI Sub-Committee on Accreditation Report –December 2020</w:t>
      </w:r>
      <w:r w:rsidR="008F5AFC">
        <w:rPr>
          <w:lang w:val="en-US"/>
        </w:rPr>
        <w:t xml:space="preserve">, available at </w:t>
      </w:r>
      <w:hyperlink r:id="rId10" w:history="1">
        <w:r w:rsidR="008F5AFC" w:rsidRPr="002739F0">
          <w:rPr>
            <w:rStyle w:val="Hyperlink"/>
            <w:lang w:val="en-US"/>
          </w:rPr>
          <w:t>https://nhri.ohchr.org/EN/AboutUs/GANHRIAccreditation/Documents/SCA%20Report%20December%202020%20-%2024012021%20-%20En.pdf</w:t>
        </w:r>
      </w:hyperlink>
      <w:r w:rsidR="008F5AFC">
        <w:rPr>
          <w:lang w:val="en-US"/>
        </w:rPr>
        <w:t>)</w:t>
      </w:r>
      <w:r w:rsidR="00243051">
        <w:rPr>
          <w:lang w:val="en-US"/>
        </w:rPr>
        <w:t>.</w:t>
      </w:r>
    </w:p>
    <w:p w14:paraId="0A93D21F" w14:textId="7A1E0B62" w:rsidR="000B1B31" w:rsidRPr="008F5AFC" w:rsidRDefault="008F5AFC" w:rsidP="00F144AB">
      <w:pPr>
        <w:jc w:val="both"/>
        <w:rPr>
          <w:lang w:val="en-US"/>
        </w:rPr>
      </w:pPr>
      <w:r>
        <w:rPr>
          <w:lang w:val="en-US"/>
        </w:rPr>
        <w:t xml:space="preserve"> </w:t>
      </w:r>
    </w:p>
    <w:p w14:paraId="4E327FFA" w14:textId="09456A21" w:rsidR="00085E79" w:rsidRDefault="00085E79" w:rsidP="00085E79">
      <w:pPr>
        <w:jc w:val="both"/>
        <w:rPr>
          <w:lang w:val="en-US"/>
        </w:rPr>
      </w:pPr>
    </w:p>
    <w:p w14:paraId="6000E428" w14:textId="77777777" w:rsidR="00EC78EC" w:rsidRPr="006717A5" w:rsidRDefault="00EC78EC" w:rsidP="00EC78EC">
      <w:pPr>
        <w:rPr>
          <w:lang w:val="en-GB"/>
        </w:rPr>
      </w:pPr>
      <w:r w:rsidRPr="006717A5">
        <w:rPr>
          <w:b/>
          <w:bCs/>
          <w:i/>
          <w:iCs/>
          <w:lang w:val="en-GB"/>
        </w:rPr>
        <w:t xml:space="preserve">C. Accessibility and judicial review of administrative decisions </w:t>
      </w:r>
    </w:p>
    <w:p w14:paraId="07679D24" w14:textId="77777777" w:rsidR="008F5AFC" w:rsidRDefault="008F5AFC" w:rsidP="00EC78EC">
      <w:pPr>
        <w:rPr>
          <w:i/>
          <w:iCs/>
          <w:lang w:val="en-GB"/>
        </w:rPr>
      </w:pPr>
    </w:p>
    <w:p w14:paraId="1D3DB477" w14:textId="479DAFA1" w:rsidR="00EC78EC" w:rsidRDefault="00EC78EC" w:rsidP="00EC78EC">
      <w:pPr>
        <w:rPr>
          <w:i/>
          <w:iCs/>
          <w:lang w:val="en-GB"/>
        </w:rPr>
      </w:pPr>
      <w:r w:rsidRPr="006717A5">
        <w:rPr>
          <w:i/>
          <w:iCs/>
          <w:lang w:val="en-GB"/>
        </w:rPr>
        <w:t>43. Transparency of administrative decisions and sanctions (incl. their publication and rules on collection of related data) and judicial review (incl. scope, suspensive effect)</w:t>
      </w:r>
    </w:p>
    <w:p w14:paraId="73F48D90" w14:textId="7CDF0E6F" w:rsidR="00AD39A8" w:rsidRDefault="00AD39A8" w:rsidP="008F5AFC">
      <w:pPr>
        <w:jc w:val="both"/>
        <w:rPr>
          <w:i/>
          <w:iCs/>
          <w:lang w:val="en-GB"/>
        </w:rPr>
      </w:pPr>
      <w:r>
        <w:rPr>
          <w:lang w:val="en-GB"/>
        </w:rPr>
        <w:t>I</w:t>
      </w:r>
      <w:r w:rsidRPr="009D0626">
        <w:rPr>
          <w:lang w:val="en-GB"/>
        </w:rPr>
        <w:t>n the 2019 report following his visit to Slovenia</w:t>
      </w:r>
      <w:r>
        <w:rPr>
          <w:lang w:val="en-GB"/>
        </w:rPr>
        <w:t>, t</w:t>
      </w:r>
      <w:r w:rsidRPr="009D0626">
        <w:rPr>
          <w:lang w:val="en-GB"/>
        </w:rPr>
        <w:t>he Special Rapporteur on minority issues</w:t>
      </w:r>
      <w:r>
        <w:rPr>
          <w:lang w:val="en-GB"/>
        </w:rPr>
        <w:t xml:space="preserve"> emphasised the human rights dimensions of the process by which </w:t>
      </w:r>
      <w:r w:rsidRPr="00157D89">
        <w:rPr>
          <w:lang w:val="en-GB"/>
        </w:rPr>
        <w:t xml:space="preserve">citizens of the former Yugoslav republics who </w:t>
      </w:r>
      <w:r>
        <w:rPr>
          <w:lang w:val="en-GB"/>
        </w:rPr>
        <w:t>were not citizens of Slovenia could</w:t>
      </w:r>
      <w:r w:rsidRPr="00157D89">
        <w:rPr>
          <w:lang w:val="en-GB"/>
        </w:rPr>
        <w:t xml:space="preserve"> acquire Slovenian citizenship</w:t>
      </w:r>
      <w:r>
        <w:rPr>
          <w:lang w:val="en-GB"/>
        </w:rPr>
        <w:t xml:space="preserve"> following the </w:t>
      </w:r>
      <w:r w:rsidRPr="00157D89">
        <w:rPr>
          <w:lang w:val="en-GB"/>
        </w:rPr>
        <w:t xml:space="preserve">entry into force of the </w:t>
      </w:r>
      <w:r>
        <w:rPr>
          <w:lang w:val="en-GB"/>
        </w:rPr>
        <w:t xml:space="preserve">1991 </w:t>
      </w:r>
      <w:r w:rsidRPr="00157D89">
        <w:rPr>
          <w:lang w:val="en-GB"/>
        </w:rPr>
        <w:t>Citizenship Act</w:t>
      </w:r>
      <w:r>
        <w:rPr>
          <w:lang w:val="en-GB"/>
        </w:rPr>
        <w:t>. Nearly all of those removed (‘erased’) from the registry of permanent residents as a result of the law, belonged to minorities, leading</w:t>
      </w:r>
      <w:r w:rsidR="00937DE3">
        <w:rPr>
          <w:lang w:val="en-GB"/>
        </w:rPr>
        <w:t xml:space="preserve"> in effect</w:t>
      </w:r>
      <w:r>
        <w:rPr>
          <w:lang w:val="en-GB"/>
        </w:rPr>
        <w:t xml:space="preserve"> to discriminatory consequences. </w:t>
      </w:r>
      <w:r w:rsidR="00937DE3" w:rsidRPr="00157D89">
        <w:rPr>
          <w:lang w:val="en-GB"/>
        </w:rPr>
        <w:t>While half of these people would eventually regain their residency status, or in some cases succeeded in acquiring citizenship after decades of litigation, the situation of perhaps 10,000 who mainly live</w:t>
      </w:r>
      <w:r w:rsidR="00937DE3">
        <w:rPr>
          <w:lang w:val="en-GB"/>
        </w:rPr>
        <w:t>d</w:t>
      </w:r>
      <w:r w:rsidR="00937DE3" w:rsidRPr="00157D89">
        <w:rPr>
          <w:lang w:val="en-GB"/>
        </w:rPr>
        <w:t xml:space="preserve"> outside Slovenia </w:t>
      </w:r>
      <w:r w:rsidR="00937DE3">
        <w:rPr>
          <w:lang w:val="en-GB"/>
        </w:rPr>
        <w:t>remained</w:t>
      </w:r>
      <w:r w:rsidR="00937DE3" w:rsidRPr="00157D89">
        <w:rPr>
          <w:lang w:val="en-GB"/>
        </w:rPr>
        <w:t xml:space="preserve"> unclear. Compensation </w:t>
      </w:r>
      <w:r w:rsidR="00937DE3">
        <w:rPr>
          <w:lang w:val="en-GB"/>
        </w:rPr>
        <w:t>was</w:t>
      </w:r>
      <w:r w:rsidR="00937DE3" w:rsidRPr="00157D89">
        <w:rPr>
          <w:lang w:val="en-GB"/>
        </w:rPr>
        <w:t xml:space="preserve"> still being fought over</w:t>
      </w:r>
      <w:r w:rsidR="00937DE3">
        <w:rPr>
          <w:lang w:val="en-GB"/>
        </w:rPr>
        <w:t>,</w:t>
      </w:r>
      <w:r w:rsidR="00937DE3" w:rsidRPr="00157D89">
        <w:rPr>
          <w:lang w:val="en-GB"/>
        </w:rPr>
        <w:t xml:space="preserve"> despite judgments </w:t>
      </w:r>
      <w:r w:rsidR="00937DE3">
        <w:rPr>
          <w:lang w:val="en-GB"/>
        </w:rPr>
        <w:t>of</w:t>
      </w:r>
      <w:r w:rsidR="00937DE3" w:rsidRPr="00157D89">
        <w:rPr>
          <w:lang w:val="en-GB"/>
        </w:rPr>
        <w:t xml:space="preserve"> the European Court of Human </w:t>
      </w:r>
      <w:r w:rsidR="00937DE3">
        <w:rPr>
          <w:lang w:val="en-GB"/>
        </w:rPr>
        <w:t>Rights</w:t>
      </w:r>
      <w:r w:rsidR="00937DE3" w:rsidRPr="00157D89">
        <w:rPr>
          <w:lang w:val="en-GB"/>
        </w:rPr>
        <w:t>, and a decision by the Constitutional Court in April 2018 ruling against the limitations for those who filed claims for damages in judicial processes on the amount of compensation awarded</w:t>
      </w:r>
      <w:r w:rsidR="00937DE3">
        <w:rPr>
          <w:lang w:val="en-GB"/>
        </w:rPr>
        <w:t>. A</w:t>
      </w:r>
      <w:r w:rsidR="00937DE3" w:rsidRPr="00493286">
        <w:rPr>
          <w:lang w:val="en-GB"/>
        </w:rPr>
        <w:t>s the Constitutional Court of Slovenia announced just a few days before the Special Rapporteur conducted his mission, the government compensation scheme should be amended to ensure that individual claimants can require judicial review of the amount of lump-sum damages</w:t>
      </w:r>
      <w:r w:rsidR="00243051">
        <w:rPr>
          <w:lang w:val="en-GB"/>
        </w:rPr>
        <w:t xml:space="preserve"> </w:t>
      </w:r>
      <w:bookmarkStart w:id="0" w:name="_GoBack"/>
      <w:bookmarkEnd w:id="0"/>
      <w:r w:rsidR="00937DE3">
        <w:rPr>
          <w:lang w:val="en-GB"/>
        </w:rPr>
        <w:t>(</w:t>
      </w:r>
      <w:hyperlink r:id="rId11" w:history="1">
        <w:r w:rsidR="00937DE3" w:rsidRPr="00085E79">
          <w:rPr>
            <w:rStyle w:val="Hyperlink"/>
            <w:lang w:val="en-GB"/>
          </w:rPr>
          <w:t>A/HRC/40/64/Add.1</w:t>
        </w:r>
      </w:hyperlink>
      <w:r w:rsidR="00937DE3">
        <w:rPr>
          <w:lang w:val="en-GB"/>
        </w:rPr>
        <w:t xml:space="preserve"> para 53, 55)</w:t>
      </w:r>
      <w:r w:rsidR="00937DE3" w:rsidRPr="00157D89">
        <w:rPr>
          <w:lang w:val="en-GB"/>
        </w:rPr>
        <w:t>.</w:t>
      </w:r>
    </w:p>
    <w:p w14:paraId="0CB2E594" w14:textId="2AA2F6B6" w:rsidR="00157D89" w:rsidRDefault="00157D89" w:rsidP="00EC78EC">
      <w:pPr>
        <w:rPr>
          <w:lang w:val="en-GB"/>
        </w:rPr>
      </w:pPr>
    </w:p>
    <w:p w14:paraId="6340FC37" w14:textId="77777777" w:rsidR="00EC78EC" w:rsidRPr="00D370CE" w:rsidRDefault="00EC78EC" w:rsidP="00EC78EC">
      <w:pPr>
        <w:rPr>
          <w:lang w:val="en-GB"/>
        </w:rPr>
      </w:pPr>
      <w:r w:rsidRPr="006717A5">
        <w:rPr>
          <w:i/>
          <w:iCs/>
          <w:lang w:val="en-GB"/>
        </w:rPr>
        <w:t xml:space="preserve">44. Implementation by the public administration and State institutions of final court decisions </w:t>
      </w:r>
    </w:p>
    <w:p w14:paraId="74410813" w14:textId="77777777" w:rsidR="008F5AFC" w:rsidRDefault="008F5AFC" w:rsidP="00EC78EC">
      <w:pPr>
        <w:rPr>
          <w:b/>
          <w:bCs/>
          <w:i/>
          <w:iCs/>
          <w:lang w:val="en-GB"/>
        </w:rPr>
      </w:pPr>
    </w:p>
    <w:p w14:paraId="4F18B2A8" w14:textId="6ACDCD11" w:rsidR="00EC78EC" w:rsidRPr="006717A5" w:rsidRDefault="00EC78EC" w:rsidP="00EC78EC">
      <w:pPr>
        <w:rPr>
          <w:lang w:val="en-GB"/>
        </w:rPr>
      </w:pPr>
      <w:r w:rsidRPr="006717A5">
        <w:rPr>
          <w:b/>
          <w:bCs/>
          <w:i/>
          <w:iCs/>
          <w:lang w:val="en-GB"/>
        </w:rPr>
        <w:t xml:space="preserve">D. The enabling framework for civil society </w:t>
      </w:r>
    </w:p>
    <w:p w14:paraId="018AA75C" w14:textId="34175856" w:rsidR="00EC78EC" w:rsidRDefault="00EC78EC" w:rsidP="00EC78EC">
      <w:pPr>
        <w:rPr>
          <w:i/>
          <w:iCs/>
          <w:lang w:val="en-GB"/>
        </w:rPr>
      </w:pPr>
      <w:r w:rsidRPr="006717A5">
        <w:rPr>
          <w:i/>
          <w:iCs/>
          <w:lang w:val="en-GB"/>
        </w:rPr>
        <w:lastRenderedPageBreak/>
        <w:t xml:space="preserve">45. Measures regarding the framework for civil society organisations (e.g. access to funding, registration rules, measures capable of affecting the public perception of civil society organisations, etc.) </w:t>
      </w:r>
    </w:p>
    <w:p w14:paraId="383F2DD3" w14:textId="77777777" w:rsidR="008F5AFC" w:rsidRDefault="008F5AFC" w:rsidP="00EC78EC">
      <w:pPr>
        <w:rPr>
          <w:b/>
          <w:bCs/>
          <w:i/>
          <w:iCs/>
          <w:lang w:val="en-GB"/>
        </w:rPr>
      </w:pPr>
    </w:p>
    <w:p w14:paraId="3F431D1C" w14:textId="4657FAD9" w:rsidR="00EC78EC" w:rsidRPr="006717A5" w:rsidRDefault="00EC78EC" w:rsidP="00EC78EC">
      <w:pPr>
        <w:rPr>
          <w:lang w:val="en-GB"/>
        </w:rPr>
      </w:pPr>
      <w:r w:rsidRPr="006717A5">
        <w:rPr>
          <w:b/>
          <w:bCs/>
          <w:i/>
          <w:iCs/>
          <w:lang w:val="en-GB"/>
        </w:rPr>
        <w:t xml:space="preserve">E. Initiatives to foster a rule of law culture </w:t>
      </w:r>
    </w:p>
    <w:p w14:paraId="0CC086DB" w14:textId="77777777" w:rsidR="00EC78EC" w:rsidRDefault="00EC78EC" w:rsidP="00EC78EC">
      <w:pPr>
        <w:rPr>
          <w:i/>
          <w:iCs/>
          <w:lang w:val="en-GB"/>
        </w:rPr>
      </w:pPr>
      <w:r w:rsidRPr="006717A5">
        <w:rPr>
          <w:i/>
          <w:iCs/>
          <w:lang w:val="en-GB"/>
        </w:rPr>
        <w:t xml:space="preserve">46. Measures to foster a rule of law culture (e.g. debates in national parliaments on the rule of law, public information campaigns on rule of law issues, etc.) </w:t>
      </w:r>
    </w:p>
    <w:p w14:paraId="0823270C" w14:textId="77777777" w:rsidR="008F5AFC" w:rsidRDefault="008F5AFC" w:rsidP="00EC78EC">
      <w:pPr>
        <w:rPr>
          <w:b/>
          <w:bCs/>
          <w:i/>
          <w:iCs/>
        </w:rPr>
      </w:pPr>
    </w:p>
    <w:p w14:paraId="1D7240BF" w14:textId="7DDFA753" w:rsidR="00644867" w:rsidRPr="00EC78EC" w:rsidRDefault="00EC78EC" w:rsidP="00EC78EC">
      <w:proofErr w:type="spellStart"/>
      <w:r w:rsidRPr="006717A5">
        <w:rPr>
          <w:b/>
          <w:bCs/>
          <w:i/>
          <w:iCs/>
        </w:rPr>
        <w:t>Other</w:t>
      </w:r>
      <w:proofErr w:type="spellEnd"/>
      <w:r w:rsidRPr="006717A5">
        <w:rPr>
          <w:b/>
          <w:bCs/>
          <w:i/>
          <w:iCs/>
        </w:rPr>
        <w:t xml:space="preserve"> – </w:t>
      </w:r>
      <w:proofErr w:type="spellStart"/>
      <w:r w:rsidRPr="006717A5">
        <w:rPr>
          <w:b/>
          <w:bCs/>
          <w:i/>
          <w:iCs/>
        </w:rPr>
        <w:t>please</w:t>
      </w:r>
      <w:proofErr w:type="spellEnd"/>
      <w:r w:rsidRPr="006717A5">
        <w:rPr>
          <w:b/>
          <w:bCs/>
          <w:i/>
          <w:iCs/>
        </w:rPr>
        <w:t xml:space="preserve"> </w:t>
      </w:r>
      <w:proofErr w:type="spellStart"/>
      <w:r w:rsidRPr="006717A5">
        <w:rPr>
          <w:b/>
          <w:bCs/>
          <w:i/>
          <w:iCs/>
        </w:rPr>
        <w:t>specify</w:t>
      </w:r>
      <w:proofErr w:type="spellEnd"/>
    </w:p>
    <w:sectPr w:rsidR="00644867" w:rsidRPr="00EC78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1C040F"/>
    <w:multiLevelType w:val="hybridMultilevel"/>
    <w:tmpl w:val="CD04A978"/>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2E540919"/>
    <w:multiLevelType w:val="hybridMultilevel"/>
    <w:tmpl w:val="598231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F307B2"/>
    <w:multiLevelType w:val="hybridMultilevel"/>
    <w:tmpl w:val="43A6C1CA"/>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4DBC775D"/>
    <w:multiLevelType w:val="hybridMultilevel"/>
    <w:tmpl w:val="B630D0FC"/>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54E80ADE"/>
    <w:multiLevelType w:val="hybridMultilevel"/>
    <w:tmpl w:val="225A3456"/>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55A0302B"/>
    <w:multiLevelType w:val="hybridMultilevel"/>
    <w:tmpl w:val="99BADA74"/>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6E4D59BC"/>
    <w:multiLevelType w:val="hybridMultilevel"/>
    <w:tmpl w:val="4A3C702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0D73B01"/>
    <w:multiLevelType w:val="hybridMultilevel"/>
    <w:tmpl w:val="A13AC52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71383FA9"/>
    <w:multiLevelType w:val="hybridMultilevel"/>
    <w:tmpl w:val="4262026E"/>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76DA60C1"/>
    <w:multiLevelType w:val="hybridMultilevel"/>
    <w:tmpl w:val="E64A3668"/>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8203E7D"/>
    <w:multiLevelType w:val="hybridMultilevel"/>
    <w:tmpl w:val="A8C64228"/>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7963100F"/>
    <w:multiLevelType w:val="hybridMultilevel"/>
    <w:tmpl w:val="62AE46FC"/>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796321B7"/>
    <w:multiLevelType w:val="hybridMultilevel"/>
    <w:tmpl w:val="8752C684"/>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7F900292"/>
    <w:multiLevelType w:val="hybridMultilevel"/>
    <w:tmpl w:val="CB82AE2C"/>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5"/>
  </w:num>
  <w:num w:numId="6">
    <w:abstractNumId w:val="6"/>
  </w:num>
  <w:num w:numId="7">
    <w:abstractNumId w:val="8"/>
  </w:num>
  <w:num w:numId="8">
    <w:abstractNumId w:val="11"/>
  </w:num>
  <w:num w:numId="9">
    <w:abstractNumId w:val="9"/>
  </w:num>
  <w:num w:numId="10">
    <w:abstractNumId w:val="13"/>
  </w:num>
  <w:num w:numId="11">
    <w:abstractNumId w:val="7"/>
  </w:num>
  <w:num w:numId="12">
    <w:abstractNumId w:val="10"/>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8EC"/>
    <w:rsid w:val="00085E79"/>
    <w:rsid w:val="000B1B31"/>
    <w:rsid w:val="000D703F"/>
    <w:rsid w:val="00157D89"/>
    <w:rsid w:val="00243051"/>
    <w:rsid w:val="00275416"/>
    <w:rsid w:val="00421E53"/>
    <w:rsid w:val="00493286"/>
    <w:rsid w:val="004F01BF"/>
    <w:rsid w:val="00560E4B"/>
    <w:rsid w:val="00644867"/>
    <w:rsid w:val="00681771"/>
    <w:rsid w:val="008F5AFC"/>
    <w:rsid w:val="00937DE3"/>
    <w:rsid w:val="00960342"/>
    <w:rsid w:val="009D0626"/>
    <w:rsid w:val="00A12560"/>
    <w:rsid w:val="00A54452"/>
    <w:rsid w:val="00AD39A8"/>
    <w:rsid w:val="00D31E17"/>
    <w:rsid w:val="00E56A54"/>
    <w:rsid w:val="00EC78EC"/>
    <w:rsid w:val="00F144A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445A7"/>
  <w15:chartTrackingRefBased/>
  <w15:docId w15:val="{4EDB9D85-F979-44F5-8709-DD2508CC5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DE3"/>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78EC"/>
    <w:pPr>
      <w:ind w:left="720"/>
      <w:contextualSpacing/>
    </w:pPr>
  </w:style>
  <w:style w:type="character" w:styleId="Hyperlink">
    <w:name w:val="Hyperlink"/>
    <w:basedOn w:val="DefaultParagraphFont"/>
    <w:uiPriority w:val="99"/>
    <w:unhideWhenUsed/>
    <w:rsid w:val="00EC78EC"/>
    <w:rPr>
      <w:color w:val="0563C1" w:themeColor="hyperlink"/>
      <w:u w:val="single"/>
    </w:rPr>
  </w:style>
  <w:style w:type="character" w:customStyle="1" w:styleId="UnresolvedMention">
    <w:name w:val="Unresolved Mention"/>
    <w:basedOn w:val="DefaultParagraphFont"/>
    <w:uiPriority w:val="99"/>
    <w:semiHidden/>
    <w:unhideWhenUsed/>
    <w:rsid w:val="00EC78EC"/>
    <w:rPr>
      <w:color w:val="605E5C"/>
      <w:shd w:val="clear" w:color="auto" w:fill="E1DFDD"/>
    </w:rPr>
  </w:style>
  <w:style w:type="character" w:styleId="CommentReference">
    <w:name w:val="annotation reference"/>
    <w:basedOn w:val="DefaultParagraphFont"/>
    <w:uiPriority w:val="99"/>
    <w:semiHidden/>
    <w:unhideWhenUsed/>
    <w:rsid w:val="00960342"/>
    <w:rPr>
      <w:sz w:val="16"/>
      <w:szCs w:val="16"/>
    </w:rPr>
  </w:style>
  <w:style w:type="paragraph" w:styleId="CommentText">
    <w:name w:val="annotation text"/>
    <w:basedOn w:val="Normal"/>
    <w:link w:val="CommentTextChar"/>
    <w:uiPriority w:val="99"/>
    <w:semiHidden/>
    <w:unhideWhenUsed/>
    <w:rsid w:val="00960342"/>
    <w:rPr>
      <w:sz w:val="20"/>
      <w:szCs w:val="20"/>
    </w:rPr>
  </w:style>
  <w:style w:type="character" w:customStyle="1" w:styleId="CommentTextChar">
    <w:name w:val="Comment Text Char"/>
    <w:basedOn w:val="DefaultParagraphFont"/>
    <w:link w:val="CommentText"/>
    <w:uiPriority w:val="99"/>
    <w:semiHidden/>
    <w:rsid w:val="00960342"/>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60342"/>
    <w:rPr>
      <w:b/>
      <w:bCs/>
    </w:rPr>
  </w:style>
  <w:style w:type="character" w:customStyle="1" w:styleId="CommentSubjectChar">
    <w:name w:val="Comment Subject Char"/>
    <w:basedOn w:val="CommentTextChar"/>
    <w:link w:val="CommentSubject"/>
    <w:uiPriority w:val="99"/>
    <w:semiHidden/>
    <w:rsid w:val="00960342"/>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9603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342"/>
    <w:rPr>
      <w:rFonts w:ascii="Segoe UI" w:eastAsia="Times New Roman" w:hAnsi="Segoe UI" w:cs="Segoe UI"/>
      <w:sz w:val="18"/>
      <w:szCs w:val="18"/>
      <w:lang w:eastAsia="en-GB"/>
    </w:rPr>
  </w:style>
  <w:style w:type="character" w:styleId="FollowedHyperlink">
    <w:name w:val="FollowedHyperlink"/>
    <w:basedOn w:val="DefaultParagraphFont"/>
    <w:uiPriority w:val="99"/>
    <w:semiHidden/>
    <w:unhideWhenUsed/>
    <w:rsid w:val="009603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59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RPD/C/SVN/CO/1&amp;Lang=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binternet.ohchr.org/_layouts/15/treatybodyexternal/Download.aspx?symbolno=CRPD/C/SVN/CO/1&amp;Lang=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pinternet.ohchr.org/Download.aspx?SymbolNo=A%2fHRC%2f40%2f64%2fAdd.1&amp;Lang=en" TargetMode="External"/><Relationship Id="rId11" Type="http://schemas.openxmlformats.org/officeDocument/2006/relationships/hyperlink" Target="https://spinternet.ohchr.org/Download.aspx?SymbolNo=A%2fHRC%2f40%2f64%2fAdd.1&amp;Lang=en" TargetMode="External"/><Relationship Id="rId5" Type="http://schemas.openxmlformats.org/officeDocument/2006/relationships/hyperlink" Target="https://tbinternet.ohchr.org/_layouts/15/treatybodyexternal/Download.aspx?symbolno=CRPD/C/SVN/CO/1&amp;Lang=En" TargetMode="External"/><Relationship Id="rId10" Type="http://schemas.openxmlformats.org/officeDocument/2006/relationships/hyperlink" Target="https://nhri.ohchr.org/EN/AboutUs/GANHRIAccreditation/Documents/SCA%20Report%20December%202020%20-%2024012021%20-%20En.pdf" TargetMode="External"/><Relationship Id="rId4" Type="http://schemas.openxmlformats.org/officeDocument/2006/relationships/webSettings" Target="webSettings.xml"/><Relationship Id="rId9" Type="http://schemas.openxmlformats.org/officeDocument/2006/relationships/hyperlink" Target="https://spinternet.ohchr.org/Download.aspx?SymbolNo=A%2fHRC%2f40%2f64%2fAdd.1&amp;Lang=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2117</Words>
  <Characters>12070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2</cp:revision>
  <dcterms:created xsi:type="dcterms:W3CDTF">2021-03-08T08:24:00Z</dcterms:created>
  <dcterms:modified xsi:type="dcterms:W3CDTF">2021-03-08T08:24:00Z</dcterms:modified>
</cp:coreProperties>
</file>